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D54DEB"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D54DEB">
        <w:rPr>
          <w:rFonts w:ascii="Times New Roman" w:hAnsi="Times New Roman" w:cs="Times New Roman"/>
          <w:sz w:val="24"/>
          <w:szCs w:val="24"/>
          <w:lang w:val="uk-UA"/>
        </w:rPr>
        <w:t>№</w:t>
      </w:r>
      <w:r w:rsidR="00475BA3" w:rsidRPr="00D54DEB">
        <w:rPr>
          <w:rFonts w:ascii="Times New Roman" w:hAnsi="Times New Roman" w:cs="Times New Roman"/>
          <w:sz w:val="24"/>
          <w:szCs w:val="24"/>
          <w:lang w:val="uk-UA"/>
        </w:rPr>
        <w:t xml:space="preserve"> 3</w:t>
      </w:r>
      <w:r w:rsidR="00D54DEB" w:rsidRPr="00D54DEB">
        <w:rPr>
          <w:rFonts w:ascii="Times New Roman" w:hAnsi="Times New Roman" w:cs="Times New Roman"/>
          <w:sz w:val="24"/>
          <w:szCs w:val="24"/>
          <w:lang w:val="uk-UA"/>
        </w:rPr>
        <w:t>3</w:t>
      </w:r>
      <w:r w:rsidR="00CE7E39" w:rsidRPr="00D54DEB">
        <w:rPr>
          <w:rFonts w:ascii="Times New Roman" w:hAnsi="Times New Roman" w:cs="Times New Roman"/>
          <w:sz w:val="24"/>
          <w:szCs w:val="24"/>
          <w:lang w:val="uk-UA"/>
        </w:rPr>
        <w:t xml:space="preserve"> </w:t>
      </w:r>
      <w:r w:rsidRPr="00D54DEB">
        <w:rPr>
          <w:rFonts w:ascii="Times New Roman" w:hAnsi="Times New Roman" w:cs="Times New Roman"/>
          <w:sz w:val="24"/>
          <w:szCs w:val="24"/>
          <w:lang w:val="uk-UA"/>
        </w:rPr>
        <w:t xml:space="preserve"> від </w:t>
      </w:r>
      <w:r w:rsidR="00475BA3" w:rsidRPr="00D54DEB">
        <w:rPr>
          <w:rFonts w:ascii="Times New Roman" w:hAnsi="Times New Roman" w:cs="Times New Roman"/>
          <w:sz w:val="24"/>
          <w:szCs w:val="24"/>
          <w:lang w:val="uk-UA"/>
        </w:rPr>
        <w:t>2</w:t>
      </w:r>
      <w:r w:rsidR="00D54DEB" w:rsidRPr="00D54DEB">
        <w:rPr>
          <w:rFonts w:ascii="Times New Roman" w:hAnsi="Times New Roman" w:cs="Times New Roman"/>
          <w:sz w:val="24"/>
          <w:szCs w:val="24"/>
          <w:lang w:val="uk-UA"/>
        </w:rPr>
        <w:t>3</w:t>
      </w:r>
      <w:r w:rsidR="0052034C" w:rsidRPr="00D54DEB">
        <w:rPr>
          <w:rFonts w:ascii="Times New Roman" w:hAnsi="Times New Roman" w:cs="Times New Roman"/>
          <w:sz w:val="24"/>
          <w:szCs w:val="24"/>
          <w:lang w:val="uk-UA"/>
        </w:rPr>
        <w:t xml:space="preserve"> </w:t>
      </w:r>
      <w:r w:rsidR="0089139D" w:rsidRPr="00D54DEB">
        <w:rPr>
          <w:rFonts w:ascii="Times New Roman" w:hAnsi="Times New Roman" w:cs="Times New Roman"/>
          <w:sz w:val="24"/>
          <w:szCs w:val="24"/>
          <w:lang w:val="uk-UA"/>
        </w:rPr>
        <w:t xml:space="preserve">березня </w:t>
      </w:r>
      <w:r w:rsidRPr="00D54DEB">
        <w:rPr>
          <w:rFonts w:ascii="Times New Roman" w:hAnsi="Times New Roman" w:cs="Times New Roman"/>
          <w:sz w:val="24"/>
          <w:szCs w:val="24"/>
          <w:lang w:val="uk-UA"/>
        </w:rPr>
        <w:t>202</w:t>
      </w:r>
      <w:r w:rsidR="007C5690" w:rsidRPr="00D54DEB">
        <w:rPr>
          <w:rFonts w:ascii="Times New Roman" w:hAnsi="Times New Roman" w:cs="Times New Roman"/>
          <w:sz w:val="24"/>
          <w:szCs w:val="24"/>
          <w:lang w:val="uk-UA"/>
        </w:rPr>
        <w:t>3</w:t>
      </w:r>
      <w:r w:rsidRPr="00D54DEB">
        <w:rPr>
          <w:rFonts w:ascii="Times New Roman" w:hAnsi="Times New Roman" w:cs="Times New Roman"/>
          <w:sz w:val="24"/>
          <w:szCs w:val="24"/>
          <w:lang w:val="uk-UA"/>
        </w:rPr>
        <w:t xml:space="preserve"> року           </w:t>
      </w:r>
    </w:p>
    <w:p w:rsidR="0067282E" w:rsidRPr="00D54DEB" w:rsidRDefault="0067282E" w:rsidP="0067282E">
      <w:pPr>
        <w:pStyle w:val="a5"/>
        <w:rPr>
          <w:rFonts w:ascii="Times New Roman" w:hAnsi="Times New Roman" w:cs="Times New Roman"/>
          <w:sz w:val="24"/>
          <w:szCs w:val="24"/>
          <w:lang w:val="uk-UA"/>
        </w:rPr>
      </w:pPr>
      <w:r w:rsidRPr="00D54DEB">
        <w:rPr>
          <w:rFonts w:ascii="Times New Roman" w:hAnsi="Times New Roman" w:cs="Times New Roman"/>
          <w:sz w:val="24"/>
          <w:szCs w:val="24"/>
          <w:lang w:val="uk-UA"/>
        </w:rPr>
        <w:t xml:space="preserve">                                                                 Уповноважена особа з організації та проведення                                                   </w:t>
      </w:r>
    </w:p>
    <w:p w:rsidR="0067282E" w:rsidRPr="00D54DEB" w:rsidRDefault="0067282E" w:rsidP="0067282E">
      <w:pPr>
        <w:tabs>
          <w:tab w:val="left" w:pos="4140"/>
        </w:tabs>
        <w:rPr>
          <w:lang w:val="uk-UA"/>
        </w:rPr>
      </w:pPr>
      <w:r w:rsidRPr="00D54DEB">
        <w:rPr>
          <w:lang w:val="uk-UA"/>
        </w:rPr>
        <w:tab/>
        <w:t>публічних закупівель КНП «ЮМБЛ» ЮМР</w:t>
      </w:r>
    </w:p>
    <w:p w:rsidR="006C1C9B" w:rsidRPr="00D54DEB" w:rsidRDefault="006C1C9B" w:rsidP="0067282E">
      <w:pPr>
        <w:tabs>
          <w:tab w:val="left" w:pos="4140"/>
        </w:tabs>
        <w:rPr>
          <w:sz w:val="18"/>
          <w:szCs w:val="18"/>
          <w:lang w:val="uk-UA"/>
        </w:rPr>
      </w:pPr>
    </w:p>
    <w:p w:rsidR="00DE1CC7" w:rsidRPr="00D54DEB" w:rsidRDefault="00DE1CC7" w:rsidP="00DE1CC7">
      <w:pPr>
        <w:shd w:val="clear" w:color="auto" w:fill="FFFFFF"/>
        <w:ind w:right="-30"/>
        <w:jc w:val="both"/>
        <w:rPr>
          <w:b/>
          <w:color w:val="000000"/>
          <w:lang w:val="uk-UA"/>
        </w:rPr>
      </w:pPr>
      <w:r w:rsidRPr="00D54DEB">
        <w:rPr>
          <w:bCs/>
          <w:color w:val="000000"/>
          <w:spacing w:val="3"/>
          <w:lang w:val="uk-UA"/>
        </w:rPr>
        <w:t xml:space="preserve">                                                                                       ________________ </w:t>
      </w:r>
      <w:r w:rsidR="00F56404" w:rsidRPr="00D54DEB">
        <w:rPr>
          <w:bCs/>
          <w:color w:val="000000"/>
          <w:spacing w:val="3"/>
          <w:lang w:val="uk-UA"/>
        </w:rPr>
        <w:t>Н.В. Шевченко</w:t>
      </w:r>
    </w:p>
    <w:p w:rsidR="00DE1CC7" w:rsidRPr="00D54DEB" w:rsidRDefault="00DE1CC7" w:rsidP="00DE1CC7">
      <w:pPr>
        <w:shd w:val="clear" w:color="auto" w:fill="FFFFFF"/>
        <w:ind w:right="-30"/>
        <w:jc w:val="both"/>
        <w:rPr>
          <w:bCs/>
          <w:strike/>
          <w:color w:val="000000"/>
          <w:spacing w:val="3"/>
          <w:lang w:val="uk-UA"/>
        </w:rPr>
      </w:pPr>
      <w:r w:rsidRPr="00D54DEB">
        <w:rPr>
          <w:b/>
          <w:color w:val="000000"/>
          <w:lang w:val="uk-UA"/>
        </w:rPr>
        <w:t xml:space="preserve">                                                                               </w:t>
      </w:r>
    </w:p>
    <w:p w:rsidR="00DE1CC7" w:rsidRDefault="00DE1CC7" w:rsidP="005C1F58">
      <w:pPr>
        <w:jc w:val="center"/>
        <w:rPr>
          <w:b/>
          <w:bCs/>
          <w:lang w:val="uk-UA"/>
        </w:rPr>
      </w:pPr>
      <w:r w:rsidRPr="00D54DEB">
        <w:rPr>
          <w:b/>
          <w:bCs/>
          <w:lang w:val="uk-UA"/>
        </w:rPr>
        <w:t xml:space="preserve">                                        </w:t>
      </w:r>
      <w:r w:rsidRPr="00D54DEB">
        <w:rPr>
          <w:b/>
          <w:color w:val="000000"/>
          <w:lang w:val="uk-UA"/>
        </w:rPr>
        <w:t xml:space="preserve">                                «</w:t>
      </w:r>
      <w:r w:rsidR="00475BA3" w:rsidRPr="00D54DEB">
        <w:rPr>
          <w:b/>
          <w:color w:val="000000"/>
          <w:lang w:val="uk-UA"/>
        </w:rPr>
        <w:t>2</w:t>
      </w:r>
      <w:r w:rsidR="00D54DEB" w:rsidRPr="00D54DEB">
        <w:rPr>
          <w:b/>
          <w:color w:val="000000"/>
          <w:lang w:val="uk-UA"/>
        </w:rPr>
        <w:t>3</w:t>
      </w:r>
      <w:r w:rsidR="001E414E" w:rsidRPr="00D54DEB">
        <w:rPr>
          <w:b/>
          <w:color w:val="000000"/>
          <w:lang w:val="uk-UA"/>
        </w:rPr>
        <w:t>»</w:t>
      </w:r>
      <w:r w:rsidRPr="00D54DEB">
        <w:rPr>
          <w:b/>
          <w:color w:val="000000"/>
          <w:lang w:val="uk-UA"/>
        </w:rPr>
        <w:t xml:space="preserve"> </w:t>
      </w:r>
      <w:r w:rsidR="0089139D" w:rsidRPr="00D54DEB">
        <w:rPr>
          <w:b/>
          <w:color w:val="000000"/>
          <w:lang w:val="uk-UA"/>
        </w:rPr>
        <w:t>березня</w:t>
      </w:r>
      <w:r w:rsidR="009240A9" w:rsidRPr="00D54DEB">
        <w:rPr>
          <w:b/>
          <w:color w:val="000000"/>
          <w:lang w:val="uk-UA"/>
        </w:rPr>
        <w:t xml:space="preserve"> 202</w:t>
      </w:r>
      <w:r w:rsidR="007C5690" w:rsidRPr="00D54DEB">
        <w:rPr>
          <w:b/>
          <w:color w:val="000000"/>
          <w:lang w:val="uk-UA"/>
        </w:rPr>
        <w:t xml:space="preserve">3 </w:t>
      </w:r>
      <w:r w:rsidRPr="00D54DEB">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73128A" w:rsidRDefault="00475BA3" w:rsidP="00475BA3">
      <w:pPr>
        <w:jc w:val="center"/>
        <w:rPr>
          <w:b/>
          <w:bCs/>
          <w:color w:val="000000"/>
          <w:lang w:val="uk-UA"/>
        </w:rPr>
      </w:pPr>
      <w:r w:rsidRPr="00475BA3">
        <w:rPr>
          <w:rFonts w:eastAsia="Calibri"/>
          <w:b/>
          <w:color w:val="000000"/>
          <w:kern w:val="2"/>
          <w:sz w:val="40"/>
          <w:szCs w:val="40"/>
          <w:lang w:val="uk-UA"/>
        </w:rPr>
        <w:t>«Стоматологічні  матеріал</w:t>
      </w:r>
      <w:r>
        <w:rPr>
          <w:rFonts w:eastAsia="Calibri"/>
          <w:b/>
          <w:color w:val="000000"/>
          <w:kern w:val="2"/>
          <w:sz w:val="40"/>
          <w:szCs w:val="40"/>
          <w:lang w:val="uk-UA"/>
        </w:rPr>
        <w:t xml:space="preserve">и в </w:t>
      </w:r>
      <w:r w:rsidR="00266348" w:rsidRPr="00266348">
        <w:rPr>
          <w:rFonts w:eastAsia="Calibri"/>
          <w:b/>
          <w:color w:val="000000"/>
          <w:kern w:val="2"/>
          <w:sz w:val="40"/>
          <w:szCs w:val="40"/>
          <w:lang w:val="uk-UA"/>
        </w:rPr>
        <w:t xml:space="preserve">зубопротезне </w:t>
      </w:r>
      <w:r>
        <w:rPr>
          <w:rFonts w:eastAsia="Calibri"/>
          <w:b/>
          <w:color w:val="000000"/>
          <w:kern w:val="2"/>
          <w:sz w:val="40"/>
          <w:szCs w:val="40"/>
          <w:lang w:val="uk-UA"/>
        </w:rPr>
        <w:t>відділення»</w:t>
      </w:r>
      <w:r>
        <w:rPr>
          <w:rFonts w:eastAsia="Calibri"/>
          <w:b/>
          <w:color w:val="000000"/>
          <w:kern w:val="2"/>
          <w:sz w:val="40"/>
          <w:szCs w:val="40"/>
          <w:lang w:val="uk-UA"/>
        </w:rPr>
        <w:br/>
      </w:r>
      <w:r w:rsidRPr="00475BA3">
        <w:rPr>
          <w:rFonts w:eastAsia="Calibri"/>
          <w:b/>
          <w:color w:val="000000"/>
          <w:kern w:val="2"/>
          <w:sz w:val="40"/>
          <w:szCs w:val="40"/>
          <w:lang w:val="uk-UA"/>
        </w:rPr>
        <w:t>Код за ДК 021:2015:33140000-3 Медичні матеріали</w:t>
      </w:r>
    </w:p>
    <w:p w:rsidR="00597E5D" w:rsidRDefault="00597E5D" w:rsidP="00475BA3">
      <w:pPr>
        <w:jc w:val="center"/>
        <w:rPr>
          <w:b/>
          <w:bCs/>
          <w:color w:val="000000"/>
          <w:lang w:val="uk-UA"/>
        </w:rPr>
      </w:pP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475BA3" w:rsidRDefault="00475BA3"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D54DE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475BA3" w:rsidP="00492405">
            <w:pPr>
              <w:rPr>
                <w:b/>
                <w:bCs/>
                <w:position w:val="-2"/>
                <w:lang w:val="uk-UA" w:eastAsia="zh-CN"/>
              </w:rPr>
            </w:pPr>
            <w:r w:rsidRPr="00475BA3">
              <w:rPr>
                <w:b/>
                <w:bCs/>
                <w:position w:val="-2"/>
                <w:lang w:val="uk-UA" w:eastAsia="zh-CN"/>
              </w:rPr>
              <w:t xml:space="preserve">«Стоматологічні  матеріали в </w:t>
            </w:r>
            <w:r w:rsidR="00266348" w:rsidRPr="00266348">
              <w:rPr>
                <w:b/>
                <w:bCs/>
                <w:position w:val="-2"/>
                <w:lang w:val="uk-UA" w:eastAsia="zh-CN"/>
              </w:rPr>
              <w:t xml:space="preserve">зубопротезне </w:t>
            </w:r>
            <w:r w:rsidRPr="00475BA3">
              <w:rPr>
                <w:b/>
                <w:bCs/>
                <w:position w:val="-2"/>
                <w:lang w:val="uk-UA" w:eastAsia="zh-CN"/>
              </w:rPr>
              <w:t xml:space="preserve"> відділення», Код за ДК 021:2015:33140000-3 Медичні матеріали</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475BA3" w:rsidP="0089139D">
            <w:pPr>
              <w:rPr>
                <w:b/>
                <w:bCs/>
                <w:position w:val="-2"/>
                <w:lang w:val="uk-UA" w:eastAsia="zh-CN"/>
              </w:rPr>
            </w:pPr>
            <w:r w:rsidRPr="00475BA3">
              <w:rPr>
                <w:bCs/>
                <w:position w:val="-2"/>
                <w:lang w:val="uk-UA" w:eastAsia="zh-CN"/>
              </w:rPr>
              <w:t xml:space="preserve">«Стоматологічні  матеріали в </w:t>
            </w:r>
            <w:r w:rsidR="00266348" w:rsidRPr="00266348">
              <w:rPr>
                <w:bCs/>
                <w:position w:val="-2"/>
                <w:lang w:val="uk-UA" w:eastAsia="zh-CN"/>
              </w:rPr>
              <w:t xml:space="preserve">зубопротезне </w:t>
            </w:r>
            <w:r w:rsidRPr="00475BA3">
              <w:rPr>
                <w:bCs/>
                <w:position w:val="-2"/>
                <w:lang w:val="uk-UA" w:eastAsia="zh-CN"/>
              </w:rPr>
              <w:t>відділення», Код за ДК 021:2015:33140000-3 Медичні матеріали</w:t>
            </w:r>
          </w:p>
        </w:tc>
      </w:tr>
      <w:tr w:rsidR="00DE1CC7" w:rsidRPr="00475BA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475BA3" w:rsidP="00475BA3">
            <w:pPr>
              <w:pStyle w:val="a4"/>
              <w:spacing w:line="256" w:lineRule="auto"/>
              <w:jc w:val="both"/>
              <w:rPr>
                <w:bCs/>
                <w:lang w:val="uk-UA"/>
              </w:rPr>
            </w:pPr>
            <w:r w:rsidRPr="00475BA3">
              <w:rPr>
                <w:bCs/>
                <w:lang w:val="uk-UA"/>
              </w:rPr>
              <w:t>«Стоматологічні  матеріал</w:t>
            </w:r>
            <w:r>
              <w:rPr>
                <w:bCs/>
                <w:lang w:val="uk-UA"/>
              </w:rPr>
              <w:t xml:space="preserve">и в </w:t>
            </w:r>
            <w:r w:rsidR="00266348" w:rsidRPr="00266348">
              <w:rPr>
                <w:bCs/>
                <w:lang w:val="uk-UA"/>
              </w:rPr>
              <w:t xml:space="preserve">зубопротезне </w:t>
            </w:r>
            <w:r>
              <w:rPr>
                <w:bCs/>
                <w:lang w:val="uk-UA"/>
              </w:rPr>
              <w:t xml:space="preserve"> відділення»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r w:rsidR="00475BA3">
              <w:rPr>
                <w:lang w:val="uk-UA"/>
              </w:rPr>
              <w:t xml:space="preserve">, у </w:t>
            </w:r>
            <w:r w:rsidR="005C5EE1">
              <w:rPr>
                <w:lang w:val="uk-UA"/>
              </w:rPr>
              <w:t>зубопротезне</w:t>
            </w:r>
            <w:r w:rsidR="00475BA3">
              <w:rPr>
                <w:lang w:val="uk-UA"/>
              </w:rPr>
              <w:t xml:space="preserve"> відділення</w:t>
            </w:r>
          </w:p>
          <w:p w:rsidR="00DE1CC7" w:rsidRDefault="00FF7D15" w:rsidP="00475BA3">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475BA3">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75BA3">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75BA3">
              <w:rPr>
                <w:lang w:val="uk-UA"/>
              </w:rPr>
              <w:t>0</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у якій </w:t>
            </w:r>
            <w:r>
              <w:rPr>
                <w:b/>
                <w:bCs/>
                <w:color w:val="000000"/>
                <w:sz w:val="23"/>
                <w:szCs w:val="23"/>
                <w:lang w:eastAsia="en-US"/>
              </w:rPr>
              <w:lastRenderedPageBreak/>
              <w:t>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D54DE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D54DE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Pr>
                <w:color w:val="000000"/>
                <w:sz w:val="23"/>
                <w:szCs w:val="23"/>
                <w:lang w:eastAsia="en-US"/>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Строк дії тендерної пропозиції, протягом якого </w:t>
            </w:r>
            <w:r>
              <w:rPr>
                <w:b/>
                <w:bCs/>
                <w:color w:val="000000"/>
                <w:sz w:val="23"/>
                <w:szCs w:val="23"/>
                <w:lang w:eastAsia="en-US"/>
              </w:rPr>
              <w:lastRenderedPageBreak/>
              <w:t>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lastRenderedPageBreak/>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 xml:space="preserve">До закінчення цього строку замовник має право вимагати від учасників </w:t>
            </w:r>
            <w:r w:rsidRPr="004E4569">
              <w:rPr>
                <w:color w:val="000000"/>
                <w:sz w:val="23"/>
                <w:szCs w:val="23"/>
                <w:lang w:eastAsia="en-US"/>
              </w:rPr>
              <w:lastRenderedPageBreak/>
              <w:t>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D54DE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 xml:space="preserve">Якщо на час подання документів відсутня можливості  перевірити </w:t>
            </w:r>
            <w:r w:rsidRPr="009A3931">
              <w:rPr>
                <w:b/>
                <w:color w:val="000000"/>
                <w:sz w:val="23"/>
                <w:szCs w:val="23"/>
                <w:lang w:val="uk-UA" w:eastAsia="en-US"/>
              </w:rPr>
              <w:lastRenderedPageBreak/>
              <w:t>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Pr>
                <w:b/>
                <w:bCs/>
                <w:color w:val="000000"/>
                <w:sz w:val="23"/>
                <w:szCs w:val="23"/>
                <w:lang w:eastAsia="en-US"/>
              </w:rPr>
              <w:lastRenderedPageBreak/>
              <w:t>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lastRenderedPageBreak/>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D54DEB" w:rsidRPr="00D54DEB">
              <w:rPr>
                <w:b/>
                <w:color w:val="000000"/>
                <w:sz w:val="23"/>
                <w:szCs w:val="23"/>
                <w:lang w:val="uk-UA" w:eastAsia="en-US"/>
              </w:rPr>
              <w:t>31</w:t>
            </w:r>
            <w:r w:rsidRPr="00D54DEB">
              <w:rPr>
                <w:b/>
                <w:color w:val="000000"/>
                <w:sz w:val="23"/>
                <w:szCs w:val="23"/>
                <w:lang w:val="uk-UA" w:eastAsia="en-US"/>
              </w:rPr>
              <w:t>.</w:t>
            </w:r>
            <w:r w:rsidR="00CE7E39" w:rsidRPr="00D54DEB">
              <w:rPr>
                <w:b/>
                <w:color w:val="000000"/>
                <w:sz w:val="23"/>
                <w:szCs w:val="23"/>
                <w:lang w:val="uk-UA" w:eastAsia="en-US"/>
              </w:rPr>
              <w:t>0</w:t>
            </w:r>
            <w:r w:rsidR="00492405" w:rsidRPr="00D54DEB">
              <w:rPr>
                <w:b/>
                <w:color w:val="000000"/>
                <w:sz w:val="23"/>
                <w:szCs w:val="23"/>
                <w:lang w:val="uk-UA" w:eastAsia="en-US"/>
              </w:rPr>
              <w:t>3</w:t>
            </w:r>
            <w:r w:rsidRPr="00D54DEB">
              <w:rPr>
                <w:b/>
                <w:color w:val="000000"/>
                <w:sz w:val="23"/>
                <w:szCs w:val="23"/>
                <w:lang w:val="uk-UA" w:eastAsia="en-US"/>
              </w:rPr>
              <w:t>.202</w:t>
            </w:r>
            <w:r w:rsidR="00CE7E39" w:rsidRPr="00D54DEB">
              <w:rPr>
                <w:b/>
                <w:color w:val="000000"/>
                <w:sz w:val="23"/>
                <w:szCs w:val="23"/>
                <w:lang w:val="uk-UA" w:eastAsia="en-US"/>
              </w:rPr>
              <w:t>3</w:t>
            </w:r>
            <w:r w:rsidRPr="00D54DEB">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місцезнаходження та ідентифікаційний код замовника в </w:t>
            </w:r>
            <w:r w:rsidRPr="003F189A">
              <w:rPr>
                <w:color w:val="000000"/>
                <w:sz w:val="23"/>
                <w:szCs w:val="23"/>
                <w:lang w:eastAsia="en-US"/>
              </w:rPr>
              <w:lastRenderedPageBreak/>
              <w:t>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3F189A">
              <w:rPr>
                <w:color w:val="000000"/>
                <w:sz w:val="23"/>
                <w:szCs w:val="23"/>
                <w:lang w:eastAsia="en-US"/>
              </w:rPr>
              <w:lastRenderedPageBreak/>
              <w:t>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w:t>
            </w:r>
            <w:r w:rsidRPr="0089139D">
              <w:rPr>
                <w:sz w:val="23"/>
                <w:szCs w:val="23"/>
                <w:lang w:eastAsia="en-US"/>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не надав забезпечення тендерної пропозиції,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89139D">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lastRenderedPageBreak/>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D54DE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3) скорочення обсягу видатків на здійснення закупівлі товарів, робіт чи 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00262847" w:rsidRPr="0089139D">
              <w:rPr>
                <w:sz w:val="23"/>
                <w:szCs w:val="23"/>
                <w:lang w:val="uk-UA" w:eastAsia="en-US"/>
              </w:rPr>
              <w:lastRenderedPageBreak/>
              <w:t>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w:t>
            </w:r>
            <w:r w:rsidRPr="0089139D">
              <w:rPr>
                <w:sz w:val="23"/>
                <w:szCs w:val="23"/>
                <w:lang w:eastAsia="en-US"/>
              </w:rPr>
              <w:lastRenderedPageBreak/>
              <w:t>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9139D">
              <w:rPr>
                <w:sz w:val="23"/>
                <w:szCs w:val="23"/>
                <w:lang w:val="uk-UA" w:eastAsia="en-US"/>
              </w:rPr>
              <w:lastRenderedPageBreak/>
              <w:t>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66348"/>
    <w:rsid w:val="00272B47"/>
    <w:rsid w:val="0029136E"/>
    <w:rsid w:val="002A2285"/>
    <w:rsid w:val="002A7F25"/>
    <w:rsid w:val="002C0A40"/>
    <w:rsid w:val="002C161B"/>
    <w:rsid w:val="002D539F"/>
    <w:rsid w:val="002D767A"/>
    <w:rsid w:val="002E04EE"/>
    <w:rsid w:val="00300858"/>
    <w:rsid w:val="003042C1"/>
    <w:rsid w:val="00330223"/>
    <w:rsid w:val="00360B0E"/>
    <w:rsid w:val="003659C2"/>
    <w:rsid w:val="00385A1A"/>
    <w:rsid w:val="003A4008"/>
    <w:rsid w:val="003E10FF"/>
    <w:rsid w:val="003E5154"/>
    <w:rsid w:val="003F189A"/>
    <w:rsid w:val="003F6C5F"/>
    <w:rsid w:val="00444A22"/>
    <w:rsid w:val="00475610"/>
    <w:rsid w:val="00475BA3"/>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5C5EE1"/>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B6DF2"/>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54DEB"/>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0429-8877-4F32-BB68-77B62B12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7426</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132</cp:revision>
  <cp:lastPrinted>2023-03-23T06:17:00Z</cp:lastPrinted>
  <dcterms:created xsi:type="dcterms:W3CDTF">2021-10-21T06:37:00Z</dcterms:created>
  <dcterms:modified xsi:type="dcterms:W3CDTF">2023-03-23T06:23:00Z</dcterms:modified>
</cp:coreProperties>
</file>