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71231AD7" w:rsidR="000F742D" w:rsidRPr="00096EFD" w:rsidRDefault="00AD7394">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sidRPr="0050041E">
        <w:rPr>
          <w:rFonts w:ascii="Times New Roman" w:eastAsia="Times New Roman" w:hAnsi="Times New Roman" w:cs="Times New Roman"/>
          <w:sz w:val="24"/>
          <w:szCs w:val="24"/>
          <w:lang w:val="ru-RU"/>
        </w:rPr>
        <w:t>2</w:t>
      </w:r>
      <w:r w:rsidR="004F5559">
        <w:rPr>
          <w:rFonts w:ascii="Times New Roman" w:eastAsia="Times New Roman" w:hAnsi="Times New Roman" w:cs="Times New Roman"/>
          <w:sz w:val="24"/>
          <w:szCs w:val="24"/>
          <w:lang w:val="ru-RU"/>
        </w:rPr>
        <w:t>9</w:t>
      </w:r>
      <w:r w:rsidR="00BE7D16" w:rsidRPr="00096EFD">
        <w:rPr>
          <w:rFonts w:ascii="Times New Roman" w:eastAsia="Times New Roman" w:hAnsi="Times New Roman" w:cs="Times New Roman"/>
          <w:sz w:val="24"/>
          <w:szCs w:val="24"/>
        </w:rPr>
        <w:t>.</w:t>
      </w:r>
      <w:r w:rsidRPr="0050041E">
        <w:rPr>
          <w:rFonts w:ascii="Times New Roman" w:eastAsia="Times New Roman" w:hAnsi="Times New Roman" w:cs="Times New Roman"/>
          <w:sz w:val="24"/>
          <w:szCs w:val="24"/>
          <w:lang w:val="ru-RU"/>
        </w:rPr>
        <w:t>01</w:t>
      </w:r>
      <w:r w:rsidR="00C87001">
        <w:rPr>
          <w:rFonts w:ascii="Times New Roman" w:eastAsia="Times New Roman" w:hAnsi="Times New Roman" w:cs="Times New Roman"/>
          <w:sz w:val="24"/>
          <w:szCs w:val="24"/>
        </w:rPr>
        <w:t>.</w:t>
      </w:r>
      <w:r w:rsidR="00BE7D16" w:rsidRPr="00096EFD">
        <w:rPr>
          <w:rFonts w:ascii="Times New Roman" w:eastAsia="Times New Roman" w:hAnsi="Times New Roman" w:cs="Times New Roman"/>
          <w:sz w:val="24"/>
          <w:szCs w:val="24"/>
        </w:rPr>
        <w:t>202</w:t>
      </w:r>
      <w:r w:rsidRPr="0050041E">
        <w:rPr>
          <w:rFonts w:ascii="Times New Roman" w:eastAsia="Times New Roman" w:hAnsi="Times New Roman" w:cs="Times New Roman"/>
          <w:sz w:val="24"/>
          <w:szCs w:val="24"/>
          <w:lang w:val="ru-RU"/>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4F5559">
        <w:rPr>
          <w:rFonts w:ascii="Times New Roman" w:eastAsia="Times New Roman" w:hAnsi="Times New Roman" w:cs="Times New Roman"/>
          <w:sz w:val="24"/>
          <w:szCs w:val="24"/>
          <w:lang w:val="ru-RU"/>
        </w:rPr>
        <w:t>21</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7DE60CC"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57001777"/>
      <w:bookmarkStart w:id="4" w:name="_Hlk146109117"/>
      <w:r w:rsidR="00551D9C" w:rsidRPr="00C87001">
        <w:rPr>
          <w:rFonts w:ascii="Times New Roman" w:eastAsia="Times New Roman" w:hAnsi="Times New Roman" w:cs="Times New Roman"/>
          <w:b/>
          <w:bCs/>
          <w:sz w:val="24"/>
          <w:szCs w:val="24"/>
        </w:rPr>
        <w:t>«</w:t>
      </w:r>
      <w:r w:rsidR="004F5559">
        <w:rPr>
          <w:rFonts w:ascii="Times New Roman" w:eastAsia="Times New Roman" w:hAnsi="Times New Roman" w:cs="Times New Roman"/>
          <w:b/>
          <w:bCs/>
          <w:sz w:val="24"/>
          <w:szCs w:val="24"/>
        </w:rPr>
        <w:t>Квіти</w:t>
      </w:r>
      <w:r w:rsidR="00AD7394">
        <w:rPr>
          <w:rFonts w:ascii="Times New Roman" w:hAnsi="Times New Roman" w:cs="Times New Roman"/>
          <w:b/>
          <w:bCs/>
          <w:sz w:val="24"/>
          <w:szCs w:val="24"/>
        </w:rPr>
        <w:t>»</w:t>
      </w:r>
      <w:bookmarkStart w:id="5" w:name="_Hlk141792904"/>
      <w:r w:rsidR="00AD7394">
        <w:rPr>
          <w:rFonts w:ascii="Times New Roman" w:hAnsi="Times New Roman" w:cs="Times New Roman"/>
          <w:b/>
          <w:bCs/>
          <w:sz w:val="24"/>
          <w:szCs w:val="24"/>
        </w:rPr>
        <w:t>,</w:t>
      </w:r>
      <w:r w:rsidR="00C101DA" w:rsidRPr="00C87001">
        <w:rPr>
          <w:rFonts w:ascii="Times New Roman" w:eastAsia="Times New Roman" w:hAnsi="Times New Roman" w:cs="Times New Roman"/>
          <w:b/>
          <w:bCs/>
          <w:sz w:val="24"/>
          <w:szCs w:val="24"/>
        </w:rPr>
        <w:t xml:space="preserve"> </w:t>
      </w:r>
      <w:r w:rsidR="002F0B69" w:rsidRPr="00C87001">
        <w:rPr>
          <w:rFonts w:ascii="Times New Roman" w:eastAsia="Times New Roman" w:hAnsi="Times New Roman" w:cs="Times New Roman"/>
          <w:b/>
          <w:bCs/>
          <w:sz w:val="24"/>
          <w:szCs w:val="24"/>
        </w:rPr>
        <w:t>з</w:t>
      </w:r>
      <w:r w:rsidRPr="00C87001">
        <w:rPr>
          <w:rFonts w:ascii="Times New Roman" w:eastAsia="Times New Roman" w:hAnsi="Times New Roman" w:cs="Times New Roman"/>
          <w:b/>
          <w:bCs/>
          <w:sz w:val="24"/>
          <w:szCs w:val="24"/>
        </w:rPr>
        <w:t xml:space="preserve">а </w:t>
      </w:r>
      <w:r w:rsidR="00BE7D16" w:rsidRPr="00C87001">
        <w:rPr>
          <w:rFonts w:ascii="Times New Roman" w:eastAsia="Times New Roman" w:hAnsi="Times New Roman" w:cs="Times New Roman"/>
          <w:b/>
          <w:bCs/>
          <w:sz w:val="24"/>
          <w:szCs w:val="24"/>
        </w:rPr>
        <w:t>к</w:t>
      </w:r>
      <w:r w:rsidR="00BE7D16" w:rsidRPr="00096EFD">
        <w:rPr>
          <w:rFonts w:ascii="Times New Roman" w:eastAsia="Times New Roman" w:hAnsi="Times New Roman" w:cs="Times New Roman"/>
          <w:b/>
          <w:bCs/>
          <w:sz w:val="24"/>
          <w:szCs w:val="24"/>
        </w:rPr>
        <w:t xml:space="preserve">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4F5559">
        <w:rPr>
          <w:rFonts w:ascii="Times New Roman" w:eastAsia="Times New Roman" w:hAnsi="Times New Roman" w:cs="Times New Roman"/>
          <w:b/>
          <w:bCs/>
          <w:sz w:val="24"/>
          <w:szCs w:val="24"/>
        </w:rPr>
        <w:t>03120000-8</w:t>
      </w:r>
      <w:r w:rsidR="00852FDA">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w:t>
      </w:r>
      <w:bookmarkEnd w:id="3"/>
      <w:r w:rsidR="004F5559">
        <w:rPr>
          <w:rFonts w:ascii="Times New Roman" w:eastAsia="Times New Roman" w:hAnsi="Times New Roman" w:cs="Times New Roman"/>
          <w:b/>
          <w:bCs/>
          <w:sz w:val="24"/>
          <w:szCs w:val="24"/>
        </w:rPr>
        <w:t>Продукція рослинництва, у тому числі тепличного</w:t>
      </w:r>
      <w:r w:rsidR="002B5727" w:rsidRPr="00096EFD">
        <w:rPr>
          <w:rFonts w:ascii="Times New Roman" w:eastAsia="Times New Roman" w:hAnsi="Times New Roman" w:cs="Times New Roman"/>
          <w:sz w:val="24"/>
          <w:szCs w:val="24"/>
        </w:rPr>
        <w:t xml:space="preserve"> </w:t>
      </w:r>
      <w:bookmarkEnd w:id="4"/>
      <w:bookmarkEnd w:id="5"/>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5C4A341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6" w:name="_heading=h.4ce8yh1d432o" w:colFirst="0" w:colLast="0"/>
      <w:bookmarkEnd w:id="6"/>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2F2B12C8"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0132A">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4103690F"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159621E2"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50041E">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11BE03F9"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AD7394">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5E62BB68"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AD7394">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7" w:name="_heading=h.tyjcwt" w:colFirst="0" w:colLast="0"/>
            <w:bookmarkEnd w:id="7"/>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261419B"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AD7394">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6E367DD0" w14:textId="77777777" w:rsidR="004F5559"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4F5559" w:rsidRPr="004F5559">
        <w:rPr>
          <w:rFonts w:ascii="Times New Roman" w:eastAsia="Times New Roman" w:hAnsi="Times New Roman" w:cs="Times New Roman"/>
          <w:b/>
          <w:bCs/>
          <w:sz w:val="24"/>
          <w:szCs w:val="24"/>
        </w:rPr>
        <w:t xml:space="preserve">«Квіти», за кодом ДК 021:2015 Єдиного закупівельного словника  - 03120000-8 – Продукція рослинництва, у тому числі тепличного </w:t>
      </w:r>
    </w:p>
    <w:p w14:paraId="16B35ABF" w14:textId="2EF03406" w:rsidR="000F742D" w:rsidRPr="00AD7394"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4F5559">
        <w:rPr>
          <w:rFonts w:ascii="Times New Roman" w:eastAsia="Times New Roman" w:hAnsi="Times New Roman" w:cs="Times New Roman"/>
          <w:b/>
          <w:bCs/>
          <w:sz w:val="24"/>
          <w:szCs w:val="24"/>
        </w:rPr>
        <w:t>56000,00</w:t>
      </w:r>
      <w:r w:rsidR="00AD3825" w:rsidRPr="00AD7394">
        <w:rPr>
          <w:rFonts w:ascii="Times New Roman" w:eastAsia="Times New Roman" w:hAnsi="Times New Roman" w:cs="Times New Roman"/>
          <w:b/>
          <w:bCs/>
          <w:sz w:val="24"/>
          <w:szCs w:val="24"/>
        </w:rPr>
        <w:t xml:space="preserve"> </w:t>
      </w:r>
      <w:r w:rsidR="00CA0AC7" w:rsidRPr="00AD7394">
        <w:rPr>
          <w:rFonts w:ascii="Times New Roman" w:eastAsia="Times New Roman" w:hAnsi="Times New Roman" w:cs="Times New Roman"/>
          <w:b/>
          <w:bCs/>
          <w:sz w:val="24"/>
          <w:szCs w:val="24"/>
        </w:rPr>
        <w:t>грн.</w:t>
      </w:r>
    </w:p>
    <w:p w14:paraId="79AD187E" w14:textId="6E56E27B" w:rsidR="000F742D" w:rsidRPr="00AD7394" w:rsidRDefault="00AD3825">
      <w:pPr>
        <w:spacing w:after="0" w:line="240" w:lineRule="auto"/>
        <w:rPr>
          <w:rFonts w:ascii="Times New Roman" w:eastAsia="Times New Roman" w:hAnsi="Times New Roman" w:cs="Times New Roman"/>
          <w:b/>
          <w:bCs/>
          <w:sz w:val="24"/>
          <w:szCs w:val="24"/>
        </w:rPr>
      </w:pPr>
      <w:r w:rsidRPr="00AD7394">
        <w:rPr>
          <w:rFonts w:ascii="Times New Roman" w:eastAsia="Times New Roman" w:hAnsi="Times New Roman" w:cs="Times New Roman"/>
          <w:b/>
          <w:bCs/>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7451F52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AD7394">
        <w:rPr>
          <w:rFonts w:ascii="Times New Roman" w:eastAsia="Times New Roman" w:hAnsi="Times New Roman" w:cs="Times New Roman"/>
          <w:sz w:val="24"/>
          <w:szCs w:val="24"/>
        </w:rPr>
        <w:t xml:space="preserve">січень </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AD7394">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7A56E52F" w14:textId="77777777" w:rsidR="00720CAA" w:rsidRDefault="00720CAA" w:rsidP="00232659">
      <w:pPr>
        <w:pStyle w:val="Standard"/>
        <w:widowControl/>
        <w:jc w:val="right"/>
        <w:rPr>
          <w:rFonts w:ascii="Times New Roman" w:eastAsia="Calibri" w:hAnsi="Times New Roman" w:cs="Times New Roman"/>
          <w:b/>
          <w:bCs/>
          <w:kern w:val="0"/>
          <w:lang w:val="uk-UA" w:eastAsia="en-US" w:bidi="ar-SA"/>
        </w:rPr>
      </w:pPr>
    </w:p>
    <w:p w14:paraId="31CC981A" w14:textId="7FE4748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3919E30E"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AD7394">
        <w:rPr>
          <w:rFonts w:ascii="Times New Roman" w:eastAsia="Calibri" w:hAnsi="Times New Roman" w:cs="Times New Roman"/>
          <w:b/>
          <w:bCs/>
          <w:kern w:val="0"/>
          <w:lang w:val="uk-UA" w:eastAsia="en-US" w:bidi="ar-SA"/>
        </w:rPr>
        <w:t>2</w:t>
      </w:r>
      <w:r w:rsidR="004F5559">
        <w:rPr>
          <w:rFonts w:ascii="Times New Roman" w:eastAsia="Calibri" w:hAnsi="Times New Roman" w:cs="Times New Roman"/>
          <w:b/>
          <w:bCs/>
          <w:kern w:val="0"/>
          <w:lang w:val="uk-UA" w:eastAsia="en-US" w:bidi="ar-SA"/>
        </w:rPr>
        <w:t>9</w:t>
      </w:r>
      <w:r w:rsidR="00C77958">
        <w:rPr>
          <w:rFonts w:ascii="Times New Roman" w:eastAsia="Calibri" w:hAnsi="Times New Roman" w:cs="Times New Roman"/>
          <w:b/>
          <w:bCs/>
          <w:kern w:val="0"/>
          <w:lang w:val="uk-UA" w:eastAsia="en-US" w:bidi="ar-SA"/>
        </w:rPr>
        <w:t>.</w:t>
      </w:r>
      <w:r w:rsidR="00AD7394">
        <w:rPr>
          <w:rFonts w:ascii="Times New Roman" w:eastAsia="Calibri" w:hAnsi="Times New Roman" w:cs="Times New Roman"/>
          <w:b/>
          <w:bCs/>
          <w:kern w:val="0"/>
          <w:lang w:val="uk-UA" w:eastAsia="en-US" w:bidi="ar-SA"/>
        </w:rPr>
        <w:t>01</w:t>
      </w:r>
      <w:r w:rsidR="00C77958">
        <w:rPr>
          <w:rFonts w:ascii="Times New Roman" w:eastAsia="Calibri" w:hAnsi="Times New Roman" w:cs="Times New Roman"/>
          <w:b/>
          <w:bCs/>
          <w:kern w:val="0"/>
          <w:lang w:val="uk-UA" w:eastAsia="en-US" w:bidi="ar-SA"/>
        </w:rPr>
        <w:t>.202</w:t>
      </w:r>
      <w:r w:rsidR="0050041E">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4F5559">
        <w:rPr>
          <w:rFonts w:ascii="Times New Roman" w:eastAsia="Calibri" w:hAnsi="Times New Roman" w:cs="Times New Roman"/>
          <w:b/>
          <w:bCs/>
          <w:kern w:val="0"/>
          <w:lang w:val="uk-UA" w:eastAsia="en-US" w:bidi="ar-SA"/>
        </w:rPr>
        <w:t>2</w:t>
      </w:r>
      <w:r w:rsidR="003F5D9F">
        <w:rPr>
          <w:rFonts w:ascii="Times New Roman" w:eastAsia="Calibri" w:hAnsi="Times New Roman" w:cs="Times New Roman"/>
          <w:b/>
          <w:bCs/>
          <w:kern w:val="0"/>
          <w:lang w:val="uk-UA" w:eastAsia="en-US" w:bidi="ar-SA"/>
        </w:rPr>
        <w:t>2</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541F8230"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AD7394">
        <w:rPr>
          <w:rFonts w:ascii="Times New Roman" w:eastAsia="Calibri" w:hAnsi="Times New Roman" w:cs="Times New Roman"/>
          <w:b/>
          <w:bCs/>
          <w:kern w:val="0"/>
          <w:lang w:val="uk-UA" w:eastAsia="en-US" w:bidi="ar-SA"/>
        </w:rPr>
        <w:t xml:space="preserve">ФОП </w:t>
      </w:r>
      <w:r w:rsidR="004F5559">
        <w:rPr>
          <w:rFonts w:ascii="Times New Roman" w:eastAsia="Calibri" w:hAnsi="Times New Roman" w:cs="Times New Roman"/>
          <w:b/>
          <w:bCs/>
          <w:kern w:val="0"/>
          <w:lang w:val="uk-UA" w:eastAsia="en-US" w:bidi="ar-SA"/>
        </w:rPr>
        <w:t>Полонко Дмитро Олександрович</w:t>
      </w:r>
    </w:p>
    <w:p w14:paraId="2E7AE17A" w14:textId="483BE959"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4F5559">
        <w:rPr>
          <w:rFonts w:ascii="Times New Roman" w:eastAsia="Calibri" w:hAnsi="Times New Roman" w:cs="Times New Roman"/>
          <w:b/>
          <w:bCs/>
          <w:kern w:val="0"/>
          <w:lang w:val="uk-UA" w:eastAsia="en-US" w:bidi="ar-SA"/>
        </w:rPr>
        <w:t>ЄДРПОУ:3222508375.</w:t>
      </w:r>
    </w:p>
    <w:p w14:paraId="3B28CCF4" w14:textId="0F6F3B5C"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AD7394">
        <w:rPr>
          <w:rFonts w:ascii="Times New Roman" w:hAnsi="Times New Roman" w:cs="Times New Roman"/>
          <w:b/>
          <w:bCs/>
          <w:lang w:val="uk-UA"/>
        </w:rPr>
        <w:t>500</w:t>
      </w:r>
      <w:r w:rsidR="004F5559">
        <w:rPr>
          <w:rFonts w:ascii="Times New Roman" w:hAnsi="Times New Roman" w:cs="Times New Roman"/>
          <w:b/>
          <w:bCs/>
          <w:lang w:val="uk-UA"/>
        </w:rPr>
        <w:t>65</w:t>
      </w:r>
      <w:r w:rsidRPr="00096EFD">
        <w:rPr>
          <w:rFonts w:ascii="Times New Roman" w:hAnsi="Times New Roman" w:cs="Times New Roman"/>
          <w:b/>
          <w:bCs/>
          <w:lang w:val="uk-UA"/>
        </w:rPr>
        <w:t xml:space="preserve">, Україна, місто </w:t>
      </w:r>
      <w:r w:rsidR="00AD7394">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3F5D9F">
        <w:rPr>
          <w:rFonts w:ascii="Times New Roman" w:hAnsi="Times New Roman" w:cs="Times New Roman"/>
          <w:b/>
          <w:bCs/>
          <w:lang w:val="uk-UA"/>
        </w:rPr>
        <w:t xml:space="preserve">вул. </w:t>
      </w:r>
      <w:proofErr w:type="spellStart"/>
      <w:r w:rsidR="004F5559">
        <w:rPr>
          <w:rFonts w:ascii="Times New Roman" w:hAnsi="Times New Roman" w:cs="Times New Roman"/>
          <w:b/>
          <w:bCs/>
          <w:lang w:val="uk-UA"/>
        </w:rPr>
        <w:t>Героїва</w:t>
      </w:r>
      <w:proofErr w:type="spellEnd"/>
      <w:r w:rsidR="004F5559">
        <w:rPr>
          <w:rFonts w:ascii="Times New Roman" w:hAnsi="Times New Roman" w:cs="Times New Roman"/>
          <w:b/>
          <w:bCs/>
          <w:lang w:val="uk-UA"/>
        </w:rPr>
        <w:t xml:space="preserve"> АТО</w:t>
      </w:r>
      <w:r w:rsidR="003F5D9F">
        <w:rPr>
          <w:rFonts w:ascii="Times New Roman" w:hAnsi="Times New Roman" w:cs="Times New Roman"/>
          <w:b/>
          <w:bCs/>
          <w:lang w:val="uk-UA"/>
        </w:rPr>
        <w:t>, буд.</w:t>
      </w:r>
      <w:r w:rsidR="004F5559">
        <w:rPr>
          <w:rFonts w:ascii="Times New Roman" w:hAnsi="Times New Roman" w:cs="Times New Roman"/>
          <w:b/>
          <w:bCs/>
          <w:lang w:val="uk-UA"/>
        </w:rPr>
        <w:t>56</w:t>
      </w:r>
      <w:r w:rsidR="003F5D9F">
        <w:rPr>
          <w:rFonts w:ascii="Times New Roman" w:hAnsi="Times New Roman" w:cs="Times New Roman"/>
          <w:b/>
          <w:bCs/>
          <w:lang w:val="uk-UA"/>
        </w:rPr>
        <w:t xml:space="preserve">, </w:t>
      </w:r>
      <w:proofErr w:type="spellStart"/>
      <w:r w:rsidR="003F5D9F">
        <w:rPr>
          <w:rFonts w:ascii="Times New Roman" w:hAnsi="Times New Roman" w:cs="Times New Roman"/>
          <w:b/>
          <w:bCs/>
          <w:lang w:val="uk-UA"/>
        </w:rPr>
        <w:t>кв</w:t>
      </w:r>
      <w:proofErr w:type="spellEnd"/>
      <w:r w:rsidR="003F5D9F">
        <w:rPr>
          <w:rFonts w:ascii="Times New Roman" w:hAnsi="Times New Roman" w:cs="Times New Roman"/>
          <w:b/>
          <w:bCs/>
          <w:lang w:val="uk-UA"/>
        </w:rPr>
        <w:t xml:space="preserve">. </w:t>
      </w:r>
      <w:r w:rsidR="004F5559">
        <w:rPr>
          <w:rFonts w:ascii="Times New Roman" w:hAnsi="Times New Roman" w:cs="Times New Roman"/>
          <w:b/>
          <w:bCs/>
          <w:lang w:val="uk-UA"/>
        </w:rPr>
        <w:t>40.</w:t>
      </w:r>
    </w:p>
    <w:p w14:paraId="5B8687A6" w14:textId="77777777" w:rsidR="004F5559" w:rsidRDefault="00232659" w:rsidP="00442113">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4F5559" w:rsidRPr="004F5559">
        <w:rPr>
          <w:rFonts w:ascii="Times New Roman" w:eastAsia="Times New Roman" w:hAnsi="Times New Roman" w:cs="Times New Roman"/>
          <w:b/>
          <w:bCs/>
          <w:sz w:val="24"/>
          <w:szCs w:val="24"/>
        </w:rPr>
        <w:t xml:space="preserve">«Квіти», за кодом ДК 021:2015 Єдиного закупівельного словника  - 03120000-8 – Продукція рослинництва, у тому числі тепличного </w:t>
      </w:r>
    </w:p>
    <w:p w14:paraId="156D85A3" w14:textId="32F426F0" w:rsidR="00232659" w:rsidRPr="00096EFD" w:rsidRDefault="00232659" w:rsidP="00442113">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498A8F2C"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4F5559">
        <w:rPr>
          <w:rFonts w:ascii="Times New Roman" w:eastAsia="Calibri" w:hAnsi="Times New Roman" w:cs="Times New Roman"/>
          <w:b/>
          <w:bCs/>
          <w:kern w:val="0"/>
          <w:lang w:val="uk-UA" w:eastAsia="en-US" w:bidi="ar-SA"/>
        </w:rPr>
        <w:t>56000,00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AD7394">
        <w:rPr>
          <w:rFonts w:ascii="Times New Roman" w:eastAsia="Calibri" w:hAnsi="Times New Roman" w:cs="Times New Roman"/>
          <w:b/>
          <w:bCs/>
          <w:kern w:val="0"/>
          <w:lang w:val="uk-UA" w:eastAsia="en-US" w:bidi="ar-SA"/>
        </w:rPr>
        <w:t>без</w:t>
      </w:r>
      <w:r w:rsidR="00720CAA">
        <w:rPr>
          <w:rFonts w:ascii="Times New Roman" w:eastAsia="Calibri" w:hAnsi="Times New Roman" w:cs="Times New Roman"/>
          <w:b/>
          <w:bCs/>
          <w:kern w:val="0"/>
          <w:lang w:val="uk-UA" w:eastAsia="en-US" w:bidi="ar-SA"/>
        </w:rPr>
        <w:t xml:space="preserve"> </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 ПДВ</w:t>
      </w:r>
      <w:r w:rsidR="00720CAA">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50041E">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D3A4" w14:textId="77777777" w:rsidR="008205CF" w:rsidRPr="00096EFD" w:rsidRDefault="008205CF" w:rsidP="00EE052A">
      <w:pPr>
        <w:spacing w:after="0" w:line="240" w:lineRule="auto"/>
      </w:pPr>
      <w:r w:rsidRPr="00096EFD">
        <w:separator/>
      </w:r>
    </w:p>
  </w:endnote>
  <w:endnote w:type="continuationSeparator" w:id="0">
    <w:p w14:paraId="211D42DF" w14:textId="77777777" w:rsidR="008205CF" w:rsidRPr="00096EFD" w:rsidRDefault="008205CF"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ADFB" w14:textId="77777777" w:rsidR="008205CF" w:rsidRPr="00096EFD" w:rsidRDefault="008205CF" w:rsidP="00EE052A">
      <w:pPr>
        <w:spacing w:after="0" w:line="240" w:lineRule="auto"/>
      </w:pPr>
      <w:r w:rsidRPr="00096EFD">
        <w:separator/>
      </w:r>
    </w:p>
  </w:footnote>
  <w:footnote w:type="continuationSeparator" w:id="0">
    <w:p w14:paraId="2C170A11" w14:textId="77777777" w:rsidR="008205CF" w:rsidRPr="00096EFD" w:rsidRDefault="008205CF"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6EFD"/>
    <w:rsid w:val="000F742D"/>
    <w:rsid w:val="00101827"/>
    <w:rsid w:val="001571B1"/>
    <w:rsid w:val="00185A4B"/>
    <w:rsid w:val="001B38F7"/>
    <w:rsid w:val="001F1A27"/>
    <w:rsid w:val="00204570"/>
    <w:rsid w:val="00232659"/>
    <w:rsid w:val="002B5727"/>
    <w:rsid w:val="002C67AE"/>
    <w:rsid w:val="002E3277"/>
    <w:rsid w:val="002F0B69"/>
    <w:rsid w:val="003A3806"/>
    <w:rsid w:val="003F5D9F"/>
    <w:rsid w:val="00400A64"/>
    <w:rsid w:val="0043168A"/>
    <w:rsid w:val="00442113"/>
    <w:rsid w:val="004D49E6"/>
    <w:rsid w:val="004F5559"/>
    <w:rsid w:val="0050041E"/>
    <w:rsid w:val="00517166"/>
    <w:rsid w:val="00551D9C"/>
    <w:rsid w:val="00611311"/>
    <w:rsid w:val="00615DBC"/>
    <w:rsid w:val="00720CAA"/>
    <w:rsid w:val="007760AB"/>
    <w:rsid w:val="007C35EE"/>
    <w:rsid w:val="008126E9"/>
    <w:rsid w:val="008205CF"/>
    <w:rsid w:val="00852FDA"/>
    <w:rsid w:val="00A568DD"/>
    <w:rsid w:val="00A62F5C"/>
    <w:rsid w:val="00AD3825"/>
    <w:rsid w:val="00AD7394"/>
    <w:rsid w:val="00B6140F"/>
    <w:rsid w:val="00BC2468"/>
    <w:rsid w:val="00BE7D16"/>
    <w:rsid w:val="00C101DA"/>
    <w:rsid w:val="00C77958"/>
    <w:rsid w:val="00C87001"/>
    <w:rsid w:val="00C9268F"/>
    <w:rsid w:val="00CA0AC7"/>
    <w:rsid w:val="00CE591D"/>
    <w:rsid w:val="00D0132A"/>
    <w:rsid w:val="00D065C4"/>
    <w:rsid w:val="00D40C64"/>
    <w:rsid w:val="00DD346D"/>
    <w:rsid w:val="00DD3A07"/>
    <w:rsid w:val="00DF3CB7"/>
    <w:rsid w:val="00E0161E"/>
    <w:rsid w:val="00EE052A"/>
    <w:rsid w:val="00FF10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1335</Words>
  <Characters>7616</Characters>
  <Application>Microsoft Office Word</Application>
  <DocSecurity>0</DocSecurity>
  <Lines>63</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2024-01-24T12:58:00Z</cp:lastPrinted>
  <dcterms:created xsi:type="dcterms:W3CDTF">2024-01-29T11:05:00Z</dcterms:created>
  <dcterms:modified xsi:type="dcterms:W3CDTF">2024-01-29T11:05:00Z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