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4E" w:rsidRDefault="00D7324E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</w:rPr>
      </w:pPr>
    </w:p>
    <w:p w:rsidR="000A7D3F" w:rsidRPr="00870233" w:rsidRDefault="000A7D3F" w:rsidP="000A7D3F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val="ru-RU" w:eastAsia="ar-SA"/>
        </w:rPr>
      </w:pPr>
      <w:bookmarkStart w:id="0" w:name="_Hlk25154769"/>
      <w:r w:rsidRPr="00FE0502">
        <w:rPr>
          <w:rFonts w:eastAsia="Arial"/>
          <w:b/>
          <w:sz w:val="24"/>
          <w:szCs w:val="24"/>
          <w:lang w:eastAsia="ar-SA"/>
        </w:rPr>
        <w:t>Протокольне рішення (протокол) №</w:t>
      </w:r>
      <w:r w:rsidR="001B777E">
        <w:rPr>
          <w:rFonts w:eastAsia="Arial"/>
          <w:b/>
          <w:sz w:val="24"/>
          <w:szCs w:val="24"/>
          <w:lang w:eastAsia="ar-SA"/>
        </w:rPr>
        <w:t>64</w:t>
      </w:r>
    </w:p>
    <w:p w:rsidR="000A7D3F" w:rsidRPr="00FE0502" w:rsidRDefault="000A7D3F" w:rsidP="000A7D3F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FE0502">
        <w:rPr>
          <w:rFonts w:eastAsia="Arial"/>
          <w:b/>
          <w:sz w:val="24"/>
          <w:szCs w:val="24"/>
          <w:lang w:eastAsia="ar-SA"/>
        </w:rPr>
        <w:t xml:space="preserve">уповноваженої особи </w:t>
      </w:r>
    </w:p>
    <w:p w:rsidR="000A7D3F" w:rsidRPr="00FE0502" w:rsidRDefault="00192296" w:rsidP="000A7D3F">
      <w:pPr>
        <w:shd w:val="clear" w:color="auto" w:fill="FFFFFF"/>
        <w:spacing w:after="0"/>
        <w:jc w:val="center"/>
        <w:rPr>
          <w:rFonts w:eastAsia="Arial"/>
          <w:i/>
          <w:sz w:val="24"/>
          <w:szCs w:val="24"/>
          <w:lang w:eastAsia="ar-SA"/>
        </w:rPr>
      </w:pPr>
      <w:proofErr w:type="spellStart"/>
      <w:r>
        <w:rPr>
          <w:rFonts w:eastAsia="Arial"/>
          <w:b/>
          <w:sz w:val="24"/>
          <w:szCs w:val="24"/>
          <w:lang w:eastAsia="ar-SA"/>
        </w:rPr>
        <w:t>Нетішинського</w:t>
      </w:r>
      <w:proofErr w:type="spellEnd"/>
      <w:r>
        <w:rPr>
          <w:rFonts w:eastAsia="Arial"/>
          <w:b/>
          <w:sz w:val="24"/>
          <w:szCs w:val="24"/>
          <w:lang w:eastAsia="ar-SA"/>
        </w:rPr>
        <w:t xml:space="preserve"> академічного ліцею</w:t>
      </w:r>
      <w:r w:rsidR="000A7D3F">
        <w:rPr>
          <w:rFonts w:eastAsia="Arial"/>
          <w:b/>
          <w:sz w:val="24"/>
          <w:szCs w:val="24"/>
          <w:lang w:eastAsia="ar-SA"/>
        </w:rPr>
        <w:t xml:space="preserve"> </w:t>
      </w:r>
      <w:proofErr w:type="spellStart"/>
      <w:r w:rsidR="000A7D3F">
        <w:rPr>
          <w:rFonts w:eastAsia="Arial"/>
          <w:b/>
          <w:sz w:val="24"/>
          <w:szCs w:val="24"/>
          <w:lang w:eastAsia="ar-SA"/>
        </w:rPr>
        <w:t>Нетішинської</w:t>
      </w:r>
      <w:proofErr w:type="spellEnd"/>
      <w:r w:rsidR="000A7D3F">
        <w:rPr>
          <w:rFonts w:eastAsia="Arial"/>
          <w:b/>
          <w:sz w:val="24"/>
          <w:szCs w:val="24"/>
          <w:lang w:eastAsia="ar-SA"/>
        </w:rPr>
        <w:t xml:space="preserve"> міської ради Шепетівського району Хмельницької області</w:t>
      </w:r>
    </w:p>
    <w:p w:rsidR="000A7D3F" w:rsidRPr="00FE0502" w:rsidRDefault="000A7D3F" w:rsidP="000A7D3F">
      <w:pPr>
        <w:shd w:val="clear" w:color="auto" w:fill="FFFFFF"/>
        <w:spacing w:after="0"/>
        <w:rPr>
          <w:rFonts w:eastAsia="Arial"/>
          <w:b/>
          <w:sz w:val="24"/>
          <w:szCs w:val="24"/>
          <w:lang w:eastAsia="ar-SA"/>
        </w:rPr>
      </w:pPr>
    </w:p>
    <w:p w:rsidR="000A7D3F" w:rsidRPr="00FE0502" w:rsidRDefault="000A7D3F" w:rsidP="000A7D3F">
      <w:pPr>
        <w:shd w:val="clear" w:color="auto" w:fill="FFFFFF"/>
        <w:spacing w:after="0"/>
        <w:rPr>
          <w:rFonts w:eastAsia="Arial"/>
          <w:b/>
          <w:sz w:val="24"/>
          <w:szCs w:val="24"/>
          <w:lang w:eastAsia="ar-SA"/>
        </w:rPr>
      </w:pPr>
    </w:p>
    <w:p w:rsidR="000A7D3F" w:rsidRPr="00604C42" w:rsidRDefault="000A7D3F" w:rsidP="000A7D3F">
      <w:pPr>
        <w:shd w:val="clear" w:color="auto" w:fill="FFFFFF"/>
        <w:spacing w:after="0"/>
        <w:rPr>
          <w:rFonts w:eastAsia="Arial"/>
          <w:b/>
          <w:sz w:val="24"/>
          <w:szCs w:val="24"/>
          <w:lang w:eastAsia="ar-SA"/>
        </w:rPr>
      </w:pPr>
      <w:bookmarkStart w:id="1" w:name="_Hlk37090437"/>
      <w:proofErr w:type="spellStart"/>
      <w:r w:rsidRPr="00604C42">
        <w:rPr>
          <w:rFonts w:eastAsia="Arial"/>
          <w:b/>
          <w:sz w:val="24"/>
          <w:szCs w:val="24"/>
          <w:lang w:eastAsia="ar-SA"/>
        </w:rPr>
        <w:t>м.Нетішин</w:t>
      </w:r>
      <w:proofErr w:type="spellEnd"/>
      <w:r w:rsidRPr="00604C42">
        <w:rPr>
          <w:rFonts w:eastAsia="Arial"/>
          <w:b/>
          <w:sz w:val="24"/>
          <w:szCs w:val="24"/>
          <w:lang w:eastAsia="ar-SA"/>
        </w:rPr>
        <w:t xml:space="preserve">               </w:t>
      </w:r>
      <w:r w:rsidRPr="00604C42">
        <w:rPr>
          <w:rFonts w:eastAsia="Arial"/>
          <w:b/>
          <w:sz w:val="24"/>
          <w:szCs w:val="24"/>
          <w:lang w:eastAsia="ar-SA"/>
        </w:rPr>
        <w:tab/>
      </w:r>
      <w:r w:rsidRPr="00604C42">
        <w:rPr>
          <w:rFonts w:eastAsia="Arial"/>
          <w:b/>
          <w:sz w:val="24"/>
          <w:szCs w:val="24"/>
          <w:lang w:eastAsia="ar-SA"/>
        </w:rPr>
        <w:tab/>
      </w:r>
      <w:r w:rsidRPr="00604C42">
        <w:rPr>
          <w:rFonts w:eastAsia="Arial"/>
          <w:b/>
          <w:sz w:val="24"/>
          <w:szCs w:val="24"/>
          <w:lang w:eastAsia="ar-SA"/>
        </w:rPr>
        <w:tab/>
      </w:r>
      <w:r w:rsidRPr="00604C42">
        <w:rPr>
          <w:rFonts w:eastAsia="Arial"/>
          <w:b/>
          <w:sz w:val="24"/>
          <w:szCs w:val="24"/>
          <w:lang w:eastAsia="ar-SA"/>
        </w:rPr>
        <w:tab/>
        <w:t xml:space="preserve">                                      «</w:t>
      </w:r>
      <w:r w:rsidR="001B777E">
        <w:rPr>
          <w:rFonts w:eastAsia="Arial"/>
          <w:b/>
          <w:sz w:val="24"/>
          <w:szCs w:val="24"/>
          <w:lang w:val="ru-RU" w:eastAsia="ar-SA"/>
        </w:rPr>
        <w:t>19</w:t>
      </w:r>
      <w:r>
        <w:rPr>
          <w:rFonts w:eastAsia="Arial"/>
          <w:b/>
          <w:sz w:val="24"/>
          <w:szCs w:val="24"/>
          <w:lang w:eastAsia="ar-SA"/>
        </w:rPr>
        <w:t>» березня  2024</w:t>
      </w:r>
      <w:r w:rsidRPr="00604C42">
        <w:rPr>
          <w:rFonts w:eastAsia="Arial"/>
          <w:b/>
          <w:sz w:val="24"/>
          <w:szCs w:val="24"/>
          <w:lang w:eastAsia="ar-SA"/>
        </w:rPr>
        <w:t xml:space="preserve"> року</w:t>
      </w:r>
    </w:p>
    <w:bookmarkEnd w:id="0"/>
    <w:bookmarkEnd w:id="1"/>
    <w:p w:rsidR="000A7D3F" w:rsidRDefault="000A7D3F" w:rsidP="000A7D3F">
      <w:pPr>
        <w:spacing w:after="0"/>
        <w:jc w:val="both"/>
        <w:rPr>
          <w:b/>
          <w:color w:val="000000"/>
          <w:sz w:val="24"/>
          <w:szCs w:val="24"/>
        </w:rPr>
      </w:pPr>
    </w:p>
    <w:p w:rsidR="00D7324E" w:rsidRDefault="00D7324E">
      <w:pPr>
        <w:spacing w:after="0"/>
        <w:jc w:val="both"/>
        <w:rPr>
          <w:b/>
          <w:color w:val="000000"/>
          <w:sz w:val="24"/>
          <w:szCs w:val="24"/>
        </w:rPr>
      </w:pPr>
    </w:p>
    <w:p w:rsidR="00D7324E" w:rsidRDefault="00A24F66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D7324E" w:rsidRDefault="00A24F66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bookmarkStart w:id="2" w:name="_heading=h.30j0zll" w:colFirst="0" w:colLast="0"/>
      <w:bookmarkEnd w:id="2"/>
      <w:r>
        <w:rPr>
          <w:sz w:val="24"/>
          <w:szCs w:val="24"/>
        </w:rPr>
        <w:t xml:space="preserve">Про розгляд та затвердження тендерної документації щодо закупівлі </w:t>
      </w:r>
      <w:r w:rsidR="001B777E" w:rsidRPr="001B777E">
        <w:rPr>
          <w:rFonts w:cs="Times New Roman"/>
        </w:rPr>
        <w:t xml:space="preserve">Обладнання для кабінету «КЛАС БЕЗПЕКИ» (ДК 021:2015: 39160000-1 Шкільні меблі. Номенклатурна позиція: комплект мультимедійного обладнання, тип 3 (ДК 021:2015: 39162100-6 Навчальне обладнання), мобільний стенд (стійка) для транспортування в приміщенні (для інтерактивної панелі) (ДК 021:2015: 39162100-6 Навчальне обладнання), </w:t>
      </w:r>
      <w:r w:rsidR="001B777E" w:rsidRPr="001B777E">
        <w:rPr>
          <w:rFonts w:cs="Times New Roman"/>
          <w:lang w:val="en-US"/>
        </w:rPr>
        <w:t>Smart</w:t>
      </w:r>
      <w:r w:rsidR="001B777E" w:rsidRPr="001B777E">
        <w:rPr>
          <w:rFonts w:cs="Times New Roman"/>
        </w:rPr>
        <w:t xml:space="preserve"> </w:t>
      </w:r>
      <w:r w:rsidR="001B777E" w:rsidRPr="001B777E">
        <w:rPr>
          <w:rFonts w:cs="Times New Roman"/>
          <w:lang w:val="en-US"/>
        </w:rPr>
        <w:t>TV</w:t>
      </w:r>
      <w:r w:rsidR="001B777E" w:rsidRPr="001B777E">
        <w:rPr>
          <w:rFonts w:cs="Times New Roman"/>
        </w:rPr>
        <w:t xml:space="preserve"> телевізор (ДК 021:2015: 39162100-6 Навчальне обладнання), персональний комп’ютер форм-фактор ноутбук (ДК 021:2015: 39162100-6 Навчальне обладнання), набір дорожніх знаків та моделі світлофора (ДК 021:2015: 39162110-9 Навчальне приладдя), навчальний манекен серцево-легеневої реанімації (ДК 021:2015: 39162110-9 Навчальне приладдя), доріжка акробатична гумова (ДК 021:2015: 39162110-9 Навчальне приладдя), кріплення для телевізору </w:t>
      </w:r>
      <w:r w:rsidR="001B777E" w:rsidRPr="001B777E">
        <w:rPr>
          <w:rFonts w:cs="Times New Roman"/>
          <w:lang w:val="en-US"/>
        </w:rPr>
        <w:t>Smart</w:t>
      </w:r>
      <w:r w:rsidR="001B777E" w:rsidRPr="001B777E">
        <w:rPr>
          <w:rFonts w:cs="Times New Roman"/>
        </w:rPr>
        <w:t xml:space="preserve"> </w:t>
      </w:r>
      <w:r w:rsidR="001B777E" w:rsidRPr="001B777E">
        <w:rPr>
          <w:rFonts w:cs="Times New Roman"/>
          <w:lang w:val="en-US"/>
        </w:rPr>
        <w:t>TV</w:t>
      </w:r>
      <w:r w:rsidR="001B777E" w:rsidRPr="001B777E">
        <w:rPr>
          <w:rFonts w:cs="Times New Roman"/>
        </w:rPr>
        <w:t xml:space="preserve"> (ДК 021:2015: 39162100-6 Навчальне обладнання), симулятор пожежної безпеки «Прасувальна дошка. Вогонь» (ДК 021:2015: 39162110-9 Навчальне приладдя), вогнегасник порошковий (ДК 021:2015: 39162110-9 Навчальне приладдя), вогнегасник аерозольний пінний (ДК 021:2015: 39162110-9 Навчальне приладдя), набір зі щитом відкритого типу (ДК 021:2015: 39162110-9 Навчальне приладдя), вогнегасник вуглекислотний (ДК 021: 2015: 39162110-9 Навчальне приладдя), протигаз цивільний ГП-7 (ДК 021:2015: 39162110-9 Навчальне приладдя), рукав пожежний (ДК 021:2015: 39162110-9 Навчальне приладдя), розгалуження рукавне (ДК 021:2015: 39162110-9 Навчальне приладдя), пожежний ствол (ДК 021:2015: 39162110-9 Навчальне приладдя), напірний рукав м’який (ДК 021:2015: 39162110-9 Навчальне приладдя), металошукач з зарядним пристроєм (ДК 021:2015: 39162110-9 Навчальне приладдя), комплект моделей «Іграшка-міна» (ДК 021:2015: 39162110-9 Навчальне приладдя), дитячий світлофор (електронний) (ДК 021:2015: 39162110-9 Навчальне приладдя), набір «Знаки дорожнього руху із світлофором» (ДК 021:2015: 39162110-9 Навчальне приладдя), дитяча форма ДСНС 140 розмір (ДК 021:2015: 39162110-9 Навчальне приладдя), дитяча форма </w:t>
      </w:r>
      <w:proofErr w:type="spellStart"/>
      <w:r w:rsidR="001B777E" w:rsidRPr="001B777E">
        <w:rPr>
          <w:rFonts w:cs="Times New Roman"/>
        </w:rPr>
        <w:t>вогнеборця</w:t>
      </w:r>
      <w:proofErr w:type="spellEnd"/>
      <w:r w:rsidR="001B777E" w:rsidRPr="001B777E">
        <w:rPr>
          <w:rFonts w:cs="Times New Roman"/>
        </w:rPr>
        <w:t xml:space="preserve"> 140 розмір (ДК 021:2015: 39162110-9 Навчальне приладдя), дитяча форма </w:t>
      </w:r>
      <w:proofErr w:type="spellStart"/>
      <w:r w:rsidR="001B777E" w:rsidRPr="001B777E">
        <w:rPr>
          <w:rFonts w:cs="Times New Roman"/>
        </w:rPr>
        <w:t>парамедика</w:t>
      </w:r>
      <w:proofErr w:type="spellEnd"/>
      <w:r w:rsidR="001B777E" w:rsidRPr="001B777E">
        <w:rPr>
          <w:rFonts w:cs="Times New Roman"/>
        </w:rPr>
        <w:t xml:space="preserve"> 140 розмір (ДК 021:2015: 39162110-9 Навчальне приладдя), дитяча форма поліцейського 140 розмір (ДК 021:2015: 39162110-9 Навчальне приладдя), жилет рятувальний дитячий (ДК 021:2015: 39162110-9 Навчальне приладдя), коло рятувальне (ДК 021:2015: 39162110-9 Навчальне приладдя), жилет рятувальний дорослий (ДК 021:2015: 39162110-9 Навчальне приладдя), рятувальний кінець Олександрова (ДК 021:2015: 39162110-9 Навчальне приладдя), рятувальний поплавок (ДК 021:2015: 39162110-9 Навчальне приладдя), рятувальні ноші (ДК 021:2015: 39162110-9 Навчальне приладдя), стенд «Правила безпеки на воді» (ДК 021:2015: 39162110-9 Навчальне приладдя), стенд «Безпека життєдіяльності» (ДК 021:2015: 39162110-9 Навчальне приладдя), аптечка індивідуальна багатоцільова «Швидка допомога» (ДК 021:2015: 39162110-9 Навчальне приладдя), сумка санітарна (ДК 021:2015: 39162110-9 Навчальне приладдя), турнікет </w:t>
      </w:r>
      <w:r w:rsidR="001B777E" w:rsidRPr="001B777E">
        <w:rPr>
          <w:rFonts w:cs="Times New Roman"/>
          <w:lang w:val="en-US"/>
        </w:rPr>
        <w:t>SWAT</w:t>
      </w:r>
      <w:r w:rsidR="001B777E" w:rsidRPr="001B777E">
        <w:rPr>
          <w:rFonts w:cs="Times New Roman"/>
        </w:rPr>
        <w:t>-</w:t>
      </w:r>
      <w:r w:rsidR="001B777E" w:rsidRPr="001B777E">
        <w:rPr>
          <w:rFonts w:cs="Times New Roman"/>
          <w:lang w:val="en-US"/>
        </w:rPr>
        <w:t>T</w:t>
      </w:r>
      <w:r w:rsidR="001B777E" w:rsidRPr="001B777E">
        <w:rPr>
          <w:rFonts w:cs="Times New Roman"/>
        </w:rPr>
        <w:t xml:space="preserve"> (ДК 021:2015: 39162110-9 Навчальне приладдя), турнікет кровоспинний </w:t>
      </w:r>
      <w:r w:rsidR="001B777E" w:rsidRPr="001B777E">
        <w:rPr>
          <w:rFonts w:cs="Times New Roman"/>
          <w:lang w:val="en-US"/>
        </w:rPr>
        <w:t>SICH</w:t>
      </w:r>
      <w:r w:rsidR="001B777E" w:rsidRPr="001B777E">
        <w:rPr>
          <w:rFonts w:cs="Times New Roman"/>
        </w:rPr>
        <w:t xml:space="preserve"> (ДК 021:2015: 39162110-9 Навчальне приладдя), конструктор «Шестерні з ланцюговим приводом» (ДК 021:2015: 39162110-9 Навчальне приладдя), ляльки-рукавички «Емоції» (ДК 021:2015: 39162110-9 Навчальне приладдя), ляльковий театр «Родина» (6 од.) (ДК 021:2015: 39162110-9 Навчальне приладдя), мішок для зняття гніву, агресії, злості (ДК 021:2015: 39162110-9 Навчальне приладдя), набір «Комахи» (ДК 021:2015: 39162110-9 Навчальне приладдя), м’ячі «Емоції» (ДК 021:2015: 39162110-9 Навчальне приладдя), набір сенсорних блоків (ДК 021:2015: 39162110-9 Навчальне приладдя), намет для терапії (ДК 021:2015: 39162110-9 Навчальне приладдя), намет підвісний (ДК 021:2015: 39162110-9 Навчальне приладдя), подушка з вбудованим джерелом світла (ДК 021:2015: 39162110-9 Навчальне приладдя), сенсорна сумка (ДК 021:2015: 39162110-9 Навчальне приладдя), синельний дріт (ДК 021:2015: 39162110-9 Навчальне приладдя), тактильна підлога синя/червона (ДК 021:2015: 39162110-9 Навчальне приладдя), тактильна підлога пурпурова (ДК 021:2015: 39162110-9 Навчальне приладдя), тактильна підлога зелена/жовта (ДК 021:2015: 39162110-9 Навчальне приладдя), тактильна підлога рожева/жовта (ДК 021:2015: 39162110-9 Навчальне приладдя), лампа-акваріум з рибками (ДК </w:t>
      </w:r>
      <w:r w:rsidR="001B777E" w:rsidRPr="001B777E">
        <w:rPr>
          <w:rFonts w:cs="Times New Roman"/>
        </w:rPr>
        <w:lastRenderedPageBreak/>
        <w:t>021:2015: 39162110-9 Навчальне приладдя), лава лампа (ДК 021:2015: 39162110-9 Навчальне приладдя), набір стендів для оформлення кабінету безпеки (ДК 021:2015: 39162110-9 Навчальне приладдя), симулятор пожежної безпеки «Прасувальна дошка. Задимлення» (ДК 021:2015: 39162110-9 Навчальне приладдя), симулятор пожежної безпеки «Електрична духовка (ДК 021:2015: 39162110-9 Навчальне приладдя), набір комплектів наочних посібників-стендів «Вибухонебезпечні предмети» (ДК 021:2015: 39162110-9 Навчальне приладдя)</w:t>
      </w:r>
      <w:r w:rsidRPr="001B777E">
        <w:rPr>
          <w:i/>
          <w:sz w:val="24"/>
          <w:szCs w:val="24"/>
          <w:highlight w:val="white"/>
        </w:rPr>
        <w:t>,</w:t>
      </w:r>
      <w:r>
        <w:rPr>
          <w:i/>
          <w:sz w:val="24"/>
          <w:szCs w:val="24"/>
          <w:highlight w:val="white"/>
        </w:rPr>
        <w:t xml:space="preserve"> </w:t>
      </w:r>
      <w:r w:rsidR="000A7D3F" w:rsidRPr="00921E0E">
        <w:rPr>
          <w:rFonts w:cs="Times New Roman"/>
          <w:bCs/>
          <w:sz w:val="24"/>
          <w:szCs w:val="24"/>
        </w:rPr>
        <w:t>39160000-1 Шкільні меблі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 ДК 021:2015 Єдиного закупівельного словника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(далі – </w:t>
      </w:r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D7324E" w:rsidRDefault="00A24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(далі</w:t>
      </w:r>
      <w:r>
        <w:rPr>
          <w:b/>
          <w:i/>
          <w:sz w:val="24"/>
          <w:szCs w:val="24"/>
        </w:rPr>
        <w:t xml:space="preserve"> —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>
        <w:rPr>
          <w:rFonts w:eastAsia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>
        <w:rPr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Законом України «Про публічні закупівлі»</w:t>
      </w:r>
      <w:r>
        <w:rPr>
          <w:sz w:val="24"/>
          <w:szCs w:val="24"/>
        </w:rPr>
        <w:t xml:space="preserve"> (далі – </w:t>
      </w:r>
      <w:r>
        <w:rPr>
          <w:b/>
          <w:i/>
          <w:sz w:val="24"/>
          <w:szCs w:val="24"/>
        </w:rPr>
        <w:t>Закон</w:t>
      </w:r>
      <w:r>
        <w:rPr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:rsidR="00D7324E" w:rsidRDefault="00D7324E">
      <w:pPr>
        <w:spacing w:after="0"/>
        <w:jc w:val="both"/>
        <w:rPr>
          <w:sz w:val="24"/>
          <w:szCs w:val="24"/>
        </w:rPr>
      </w:pPr>
    </w:p>
    <w:p w:rsidR="00D7324E" w:rsidRDefault="00A24F66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:rsidR="00D7324E" w:rsidRDefault="00A24F66">
      <w:pPr>
        <w:spacing w:after="0"/>
        <w:ind w:firstLine="709"/>
        <w:jc w:val="both"/>
        <w:rPr>
          <w:sz w:val="24"/>
          <w:szCs w:val="24"/>
        </w:rPr>
      </w:pPr>
      <w:bookmarkStart w:id="3" w:name="_heading=h.1fob9te" w:colFirst="0" w:colLast="0"/>
      <w:bookmarkEnd w:id="3"/>
      <w:r>
        <w:rPr>
          <w:sz w:val="24"/>
          <w:szCs w:val="24"/>
        </w:rPr>
        <w:t xml:space="preserve">Відповідно до пункту 31 частини 1 статті 1 </w:t>
      </w:r>
      <w:r>
        <w:rPr>
          <w:b/>
          <w:i/>
          <w:sz w:val="24"/>
          <w:szCs w:val="24"/>
        </w:rPr>
        <w:t>Закону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тендерна документація</w:t>
      </w:r>
      <w:r>
        <w:rPr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.</w:t>
      </w:r>
    </w:p>
    <w:p w:rsidR="00D7324E" w:rsidRDefault="00A24F66">
      <w:pPr>
        <w:spacing w:after="0"/>
        <w:ind w:firstLine="709"/>
        <w:jc w:val="both"/>
        <w:rPr>
          <w:sz w:val="24"/>
          <w:szCs w:val="24"/>
        </w:rPr>
      </w:pPr>
      <w:bookmarkStart w:id="4" w:name="_heading=h.4cxveauz9se2" w:colFirst="0" w:colLast="0"/>
      <w:bookmarkEnd w:id="4"/>
      <w:r>
        <w:rPr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7" w:anchor="n1398">
        <w:r>
          <w:rPr>
            <w:sz w:val="24"/>
            <w:szCs w:val="24"/>
          </w:rPr>
          <w:t>статті 22</w:t>
        </w:r>
      </w:hyperlink>
      <w:r>
        <w:rPr>
          <w:sz w:val="24"/>
          <w:szCs w:val="24"/>
        </w:rPr>
        <w:t xml:space="preserve"> Закону з урахуванням цих особливостей.</w:t>
      </w:r>
    </w:p>
    <w:p w:rsidR="00D7324E" w:rsidRDefault="00A24F6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Тендерна документація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розроблена з дотриманням усіх вимог, установлених в статті 22 </w:t>
      </w:r>
      <w:r>
        <w:rPr>
          <w:b/>
          <w:i/>
          <w:sz w:val="24"/>
          <w:szCs w:val="24"/>
        </w:rPr>
        <w:t xml:space="preserve">Закону, </w:t>
      </w:r>
      <w:r>
        <w:rPr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.</w:t>
      </w:r>
    </w:p>
    <w:p w:rsidR="00D7324E" w:rsidRDefault="00A24F6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згідно з розглянутим </w:t>
      </w:r>
      <w:proofErr w:type="spellStart"/>
      <w:r>
        <w:rPr>
          <w:sz w:val="24"/>
          <w:szCs w:val="24"/>
        </w:rPr>
        <w:t>проєктом</w:t>
      </w:r>
      <w:proofErr w:type="spellEnd"/>
      <w:r>
        <w:rPr>
          <w:sz w:val="24"/>
          <w:szCs w:val="24"/>
        </w:rPr>
        <w:t>.</w:t>
      </w:r>
    </w:p>
    <w:p w:rsidR="00D7324E" w:rsidRDefault="00D7324E">
      <w:pPr>
        <w:spacing w:after="60"/>
        <w:jc w:val="both"/>
        <w:rPr>
          <w:b/>
          <w:sz w:val="24"/>
          <w:szCs w:val="24"/>
        </w:rPr>
      </w:pPr>
    </w:p>
    <w:p w:rsidR="00D7324E" w:rsidRDefault="00A24F66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D7324E" w:rsidRDefault="00A24F6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виконання вимог пунктом 24 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відповідно до </w:t>
      </w:r>
      <w:hyperlink r:id="rId8" w:anchor="n17">
        <w:r>
          <w:rPr>
            <w:sz w:val="24"/>
            <w:szCs w:val="24"/>
          </w:rPr>
          <w:t>Порядку розміщення інформації про публічні закупівлі</w:t>
        </w:r>
      </w:hyperlink>
      <w:r>
        <w:rPr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>
        <w:rPr>
          <w:b/>
          <w:sz w:val="24"/>
          <w:szCs w:val="24"/>
        </w:rPr>
        <w:t xml:space="preserve">не пізніше ніж за сім днів </w:t>
      </w:r>
      <w:r>
        <w:rPr>
          <w:sz w:val="24"/>
          <w:szCs w:val="24"/>
        </w:rPr>
        <w:t>до кінцевого строку подання тендерних пропозицій.</w:t>
      </w:r>
    </w:p>
    <w:p w:rsidR="00D7324E" w:rsidRDefault="00A24F6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виконання вищезазначеного я, уповноважена особа,</w:t>
      </w:r>
    </w:p>
    <w:p w:rsidR="00D7324E" w:rsidRDefault="00D7324E">
      <w:pPr>
        <w:spacing w:after="0"/>
        <w:ind w:firstLine="709"/>
        <w:jc w:val="both"/>
        <w:rPr>
          <w:sz w:val="24"/>
          <w:szCs w:val="24"/>
        </w:rPr>
      </w:pPr>
    </w:p>
    <w:p w:rsidR="00D7324E" w:rsidRDefault="00A24F66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ВИРІШИЛА</w:t>
      </w:r>
      <w:r>
        <w:rPr>
          <w:color w:val="000000"/>
          <w:sz w:val="24"/>
          <w:szCs w:val="24"/>
        </w:rPr>
        <w:t>:</w:t>
      </w:r>
    </w:p>
    <w:p w:rsidR="00D7324E" w:rsidRDefault="00A24F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усіма Додатками,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в т. ч.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закупівлю. </w:t>
      </w:r>
    </w:p>
    <w:p w:rsidR="00D7324E" w:rsidRDefault="00A24F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Оприлюднити оголошення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rFonts w:eastAsia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Електронній системі</w:t>
      </w:r>
      <w:r>
        <w:rPr>
          <w:rFonts w:eastAsia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eastAsia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урахуванням Особливостей.</w:t>
      </w:r>
    </w:p>
    <w:p w:rsidR="00D7324E" w:rsidRDefault="00D7324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D7324E" w:rsidRDefault="00A24F66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Дод</w:t>
      </w:r>
      <w:r w:rsidR="000A7D3F">
        <w:rPr>
          <w:rFonts w:eastAsia="Times New Roman" w:cs="Times New Roman"/>
          <w:b/>
          <w:color w:val="000000"/>
          <w:sz w:val="24"/>
          <w:szCs w:val="24"/>
        </w:rPr>
        <w:t>атки:                1. Додаток 1</w:t>
      </w:r>
      <w:r>
        <w:rPr>
          <w:rFonts w:eastAsia="Times New Roman" w:cs="Times New Roman"/>
          <w:b/>
          <w:color w:val="000000"/>
          <w:sz w:val="24"/>
          <w:szCs w:val="24"/>
        </w:rPr>
        <w:t>.</w:t>
      </w:r>
    </w:p>
    <w:p w:rsidR="00D7324E" w:rsidRDefault="00A24F66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:rsidR="00D7324E" w:rsidRDefault="00D7324E">
      <w:pPr>
        <w:spacing w:after="0"/>
        <w:rPr>
          <w:sz w:val="24"/>
          <w:szCs w:val="24"/>
        </w:rPr>
      </w:pPr>
    </w:p>
    <w:p w:rsidR="000A7D3F" w:rsidRPr="00595206" w:rsidRDefault="000A7D3F" w:rsidP="000A7D3F">
      <w:pPr>
        <w:pStyle w:val="a5"/>
        <w:jc w:val="both"/>
        <w:rPr>
          <w:rFonts w:ascii="Times New Roman" w:hAnsi="Times New Roman" w:cs="Times New Roman"/>
        </w:rPr>
      </w:pPr>
      <w:r w:rsidRPr="00595206">
        <w:rPr>
          <w:rFonts w:ascii="Times New Roman" w:hAnsi="Times New Roman" w:cs="Times New Roman"/>
        </w:rPr>
        <w:t>Уповноважена особа</w:t>
      </w:r>
    </w:p>
    <w:p w:rsidR="000A7D3F" w:rsidRPr="00595206" w:rsidRDefault="000A7D3F" w:rsidP="000A7D3F">
      <w:pPr>
        <w:pStyle w:val="a5"/>
        <w:ind w:left="-567"/>
        <w:jc w:val="both"/>
        <w:rPr>
          <w:rFonts w:ascii="Times New Roman" w:hAnsi="Times New Roman" w:cs="Times New Roman"/>
        </w:rPr>
      </w:pPr>
      <w:proofErr w:type="spellStart"/>
      <w:r w:rsidRPr="00595206">
        <w:rPr>
          <w:rFonts w:ascii="Times New Roman" w:hAnsi="Times New Roman" w:cs="Times New Roman"/>
          <w:u w:val="single"/>
        </w:rPr>
        <w:t>Нетішинського</w:t>
      </w:r>
      <w:proofErr w:type="spellEnd"/>
      <w:r>
        <w:rPr>
          <w:rFonts w:ascii="Times New Roman" w:hAnsi="Times New Roman" w:cs="Times New Roman"/>
          <w:u w:val="single"/>
        </w:rPr>
        <w:t xml:space="preserve"> академічного ліцею</w:t>
      </w:r>
      <w:r>
        <w:rPr>
          <w:rFonts w:ascii="Times New Roman" w:hAnsi="Times New Roman" w:cs="Times New Roman"/>
        </w:rPr>
        <w:t xml:space="preserve">                 </w:t>
      </w:r>
      <w:r w:rsidRPr="00595206">
        <w:rPr>
          <w:rFonts w:ascii="Times New Roman" w:hAnsi="Times New Roman" w:cs="Times New Roman"/>
        </w:rPr>
        <w:t xml:space="preserve">______________                     </w:t>
      </w:r>
      <w:r w:rsidRPr="00595206">
        <w:rPr>
          <w:rFonts w:ascii="Times New Roman" w:hAnsi="Times New Roman" w:cs="Times New Roman"/>
          <w:u w:val="single"/>
        </w:rPr>
        <w:t>М. КОЗІЙЧУК</w:t>
      </w:r>
      <w:r w:rsidRPr="00595206">
        <w:rPr>
          <w:rFonts w:ascii="Times New Roman" w:hAnsi="Times New Roman" w:cs="Times New Roman"/>
        </w:rPr>
        <w:t xml:space="preserve">  </w:t>
      </w:r>
    </w:p>
    <w:p w:rsidR="000A7D3F" w:rsidRPr="001B777E" w:rsidRDefault="000A7D3F" w:rsidP="001B777E">
      <w:pPr>
        <w:pStyle w:val="a5"/>
        <w:ind w:left="-567"/>
        <w:jc w:val="both"/>
        <w:rPr>
          <w:rFonts w:ascii="Times New Roman" w:eastAsia="Times New Roman" w:hAnsi="Times New Roman" w:cs="Times New Roman"/>
          <w:bCs/>
        </w:rPr>
      </w:pPr>
      <w:r w:rsidRPr="00595206">
        <w:rPr>
          <w:rFonts w:ascii="Times New Roman" w:hAnsi="Times New Roman" w:cs="Times New Roman"/>
          <w:i/>
          <w:sz w:val="18"/>
          <w:szCs w:val="18"/>
        </w:rPr>
        <w:t xml:space="preserve">                (найменування замовника)                                             підпис, </w:t>
      </w:r>
      <w:proofErr w:type="spellStart"/>
      <w:r w:rsidRPr="00595206">
        <w:rPr>
          <w:rFonts w:ascii="Times New Roman" w:hAnsi="Times New Roman" w:cs="Times New Roman"/>
          <w:i/>
          <w:sz w:val="18"/>
          <w:szCs w:val="18"/>
        </w:rPr>
        <w:t>м.п</w:t>
      </w:r>
      <w:proofErr w:type="spellEnd"/>
      <w:r w:rsidRPr="00595206">
        <w:rPr>
          <w:rFonts w:ascii="Times New Roman" w:hAnsi="Times New Roman" w:cs="Times New Roman"/>
          <w:i/>
          <w:sz w:val="18"/>
          <w:szCs w:val="18"/>
        </w:rPr>
        <w:t>.</w:t>
      </w:r>
      <w:r w:rsidRPr="00595206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(ініціал, ПРІЗВИЩЕ)</w:t>
      </w:r>
      <w:r>
        <w:rPr>
          <w:rFonts w:ascii="Times New Roman" w:hAnsi="Times New Roman" w:cs="Times New Roman"/>
          <w:i/>
          <w:sz w:val="18"/>
          <w:szCs w:val="18"/>
        </w:rPr>
        <w:tab/>
      </w:r>
      <w:bookmarkStart w:id="5" w:name="_heading=h.o6r0pmex9w4" w:colFirst="0" w:colLast="0"/>
      <w:bookmarkEnd w:id="5"/>
    </w:p>
    <w:p w:rsidR="00D7324E" w:rsidRDefault="00D7324E" w:rsidP="001B777E">
      <w:pPr>
        <w:tabs>
          <w:tab w:val="left" w:pos="1425"/>
        </w:tabs>
        <w:spacing w:after="0"/>
        <w:rPr>
          <w:b/>
          <w:sz w:val="24"/>
          <w:szCs w:val="24"/>
        </w:rPr>
      </w:pPr>
    </w:p>
    <w:p w:rsidR="00D7324E" w:rsidRDefault="00A24F66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Додаток  1</w:t>
      </w:r>
    </w:p>
    <w:p w:rsidR="00D7324E" w:rsidRDefault="00D7324E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D7324E" w:rsidRDefault="00A24F66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bookmarkStart w:id="6" w:name="bookmark=id.tyjcwt" w:colFirst="0" w:colLast="0"/>
      <w:bookmarkEnd w:id="6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7" w:name="bookmark=id.2s8eyo1" w:colFirst="0" w:colLast="0"/>
      <w:bookmarkStart w:id="8" w:name="bookmark=id.3dy6vkm" w:colFirst="0" w:colLast="0"/>
      <w:bookmarkStart w:id="9" w:name="bookmark=id.4d34og8" w:colFirst="0" w:colLast="0"/>
      <w:bookmarkStart w:id="10" w:name="bookmark=id.1t3h5sf" w:colFirst="0" w:colLast="0"/>
      <w:bookmarkEnd w:id="7"/>
      <w:bookmarkEnd w:id="8"/>
      <w:bookmarkEnd w:id="9"/>
      <w:bookmarkEnd w:id="10"/>
    </w:p>
    <w:p w:rsidR="00D7324E" w:rsidRDefault="00A24F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11" w:name="_heading=h.17dp8vu" w:colFirst="0" w:colLast="0"/>
      <w:bookmarkEnd w:id="11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:rsidR="00D7324E" w:rsidRDefault="00A24F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proofErr w:type="spellStart"/>
      <w:r w:rsidR="000A7D3F">
        <w:rPr>
          <w:rFonts w:eastAsia="Times New Roman" w:cs="Times New Roman"/>
          <w:color w:val="000000"/>
          <w:sz w:val="24"/>
          <w:szCs w:val="24"/>
        </w:rPr>
        <w:t>Нетішинський</w:t>
      </w:r>
      <w:proofErr w:type="spellEnd"/>
      <w:r w:rsidR="000A7D3F">
        <w:rPr>
          <w:rFonts w:eastAsia="Times New Roman" w:cs="Times New Roman"/>
          <w:color w:val="000000"/>
          <w:sz w:val="24"/>
          <w:szCs w:val="24"/>
        </w:rPr>
        <w:t xml:space="preserve"> академічний ліцей </w:t>
      </w:r>
      <w:proofErr w:type="spellStart"/>
      <w:r w:rsidR="000A7D3F">
        <w:rPr>
          <w:rFonts w:eastAsia="Times New Roman" w:cs="Times New Roman"/>
          <w:color w:val="000000"/>
          <w:sz w:val="24"/>
          <w:szCs w:val="24"/>
        </w:rPr>
        <w:t>Нетішинської</w:t>
      </w:r>
      <w:proofErr w:type="spellEnd"/>
      <w:r w:rsidR="000A7D3F">
        <w:rPr>
          <w:rFonts w:eastAsia="Times New Roman" w:cs="Times New Roman"/>
          <w:color w:val="000000"/>
          <w:sz w:val="24"/>
          <w:szCs w:val="24"/>
        </w:rPr>
        <w:t xml:space="preserve"> міської ради Шепетівського району Хмельницької області </w:t>
      </w:r>
    </w:p>
    <w:p w:rsidR="00D7324E" w:rsidRDefault="00A24F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замовника:</w:t>
      </w:r>
      <w:r w:rsidR="000A7D3F">
        <w:rPr>
          <w:rFonts w:eastAsia="Times New Roman" w:cs="Times New Roman"/>
          <w:color w:val="000000"/>
          <w:sz w:val="24"/>
          <w:szCs w:val="24"/>
        </w:rPr>
        <w:t xml:space="preserve"> 30100, Хмельницька обл., Шепетівський район, м. </w:t>
      </w:r>
      <w:proofErr w:type="spellStart"/>
      <w:r w:rsidR="000A7D3F">
        <w:rPr>
          <w:rFonts w:eastAsia="Times New Roman" w:cs="Times New Roman"/>
          <w:color w:val="000000"/>
          <w:sz w:val="24"/>
          <w:szCs w:val="24"/>
        </w:rPr>
        <w:t>Нетішин</w:t>
      </w:r>
      <w:proofErr w:type="spellEnd"/>
      <w:r w:rsidR="000A7D3F">
        <w:rPr>
          <w:rFonts w:eastAsia="Times New Roman" w:cs="Times New Roman"/>
          <w:color w:val="000000"/>
          <w:sz w:val="24"/>
          <w:szCs w:val="24"/>
        </w:rPr>
        <w:t>, пр-т Незалежності, 7</w:t>
      </w:r>
    </w:p>
    <w:p w:rsidR="00D7324E" w:rsidRDefault="00A24F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0A7D3F">
        <w:rPr>
          <w:rFonts w:eastAsia="Times New Roman" w:cs="Times New Roman"/>
          <w:color w:val="000000"/>
          <w:sz w:val="24"/>
          <w:szCs w:val="24"/>
        </w:rPr>
        <w:t xml:space="preserve"> 21340154</w:t>
      </w:r>
    </w:p>
    <w:p w:rsidR="00D7324E" w:rsidRDefault="00A24F66" w:rsidP="000A7D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 w:rsidR="000A7D3F">
        <w:rPr>
          <w:rFonts w:eastAsia="Times New Roman" w:cs="Times New Roman"/>
          <w:color w:val="000000"/>
          <w:sz w:val="24"/>
          <w:szCs w:val="24"/>
        </w:rPr>
        <w:t>Юридична особа, яка забезпечує потреби держави або територіальної громади.</w:t>
      </w:r>
    </w:p>
    <w:p w:rsidR="001B777E" w:rsidRDefault="00A24F66" w:rsidP="001B777E">
      <w:pPr>
        <w:shd w:val="clear" w:color="auto" w:fill="FFFFFF"/>
        <w:jc w:val="both"/>
        <w:rPr>
          <w:rFonts w:cs="Times New Roman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2" w:name="bookmark=id.3rdcrjn" w:colFirst="0" w:colLast="0"/>
      <w:bookmarkEnd w:id="12"/>
      <w:r w:rsidR="000A7D3F" w:rsidRPr="000A7D3F">
        <w:rPr>
          <w:color w:val="000000"/>
          <w:sz w:val="24"/>
          <w:szCs w:val="24"/>
        </w:rPr>
        <w:t xml:space="preserve"> </w:t>
      </w:r>
      <w:bookmarkStart w:id="13" w:name="bookmark=id.26in1rg" w:colFirst="0" w:colLast="0"/>
      <w:bookmarkEnd w:id="13"/>
      <w:r w:rsidR="001B777E" w:rsidRPr="001B777E">
        <w:rPr>
          <w:rFonts w:cs="Times New Roman"/>
        </w:rPr>
        <w:t xml:space="preserve">Обладнання для кабінету «КЛАС БЕЗПЕКИ» (ДК 021:2015: 39160000-1 Шкільні меблі. Номенклатурна позиція: комплект мультимедійного обладнання, тип 3 (ДК 021:2015: 39162100-6 Навчальне обладнання), мобільний стенд (стійка) для транспортування в приміщенні (для інтерактивної панелі) (ДК 021:2015: 39162100-6 Навчальне обладнання), </w:t>
      </w:r>
      <w:r w:rsidR="001B777E" w:rsidRPr="001B777E">
        <w:rPr>
          <w:rFonts w:cs="Times New Roman"/>
          <w:lang w:val="en-US"/>
        </w:rPr>
        <w:t>Smart</w:t>
      </w:r>
      <w:r w:rsidR="001B777E" w:rsidRPr="001B777E">
        <w:rPr>
          <w:rFonts w:cs="Times New Roman"/>
        </w:rPr>
        <w:t xml:space="preserve"> </w:t>
      </w:r>
      <w:r w:rsidR="001B777E" w:rsidRPr="001B777E">
        <w:rPr>
          <w:rFonts w:cs="Times New Roman"/>
          <w:lang w:val="en-US"/>
        </w:rPr>
        <w:t>TV</w:t>
      </w:r>
      <w:r w:rsidR="001B777E" w:rsidRPr="001B777E">
        <w:rPr>
          <w:rFonts w:cs="Times New Roman"/>
        </w:rPr>
        <w:t xml:space="preserve"> телевізор (ДК 021:2015: 39162100-6 Навчальне обладнання), персональний комп’ютер форм-фактор ноутбук (ДК 021:2015: 39162100-6 Навчальне обладнання), набір дорожніх знаків та моделі світлофора (ДК 021:2015: 39162110-9 Навчальне приладдя), навчальний манекен серцево-легеневої реанімації (ДК 021:2015: 39162110-9 Навчальне приладдя), доріжка акробатична гумова (ДК 021:2015: 39162110-9 Навчальне приладдя), кріплення для телевізору </w:t>
      </w:r>
      <w:r w:rsidR="001B777E" w:rsidRPr="001B777E">
        <w:rPr>
          <w:rFonts w:cs="Times New Roman"/>
          <w:lang w:val="en-US"/>
        </w:rPr>
        <w:t>Smart</w:t>
      </w:r>
      <w:r w:rsidR="001B777E" w:rsidRPr="001B777E">
        <w:rPr>
          <w:rFonts w:cs="Times New Roman"/>
        </w:rPr>
        <w:t xml:space="preserve"> </w:t>
      </w:r>
      <w:r w:rsidR="001B777E" w:rsidRPr="001B777E">
        <w:rPr>
          <w:rFonts w:cs="Times New Roman"/>
          <w:lang w:val="en-US"/>
        </w:rPr>
        <w:t>TV</w:t>
      </w:r>
      <w:r w:rsidR="001B777E" w:rsidRPr="001B777E">
        <w:rPr>
          <w:rFonts w:cs="Times New Roman"/>
        </w:rPr>
        <w:t xml:space="preserve"> (ДК 021:2015: 39162100-6 Навчальне обладнання), симулятор пожежної безпеки «Прасувальна дошка. Вогонь» (ДК 021:2015: 39162110-9 Навчальне приладдя), вогнегасник порошковий (ДК 021:2015: 39162110-9 Навчальне приладдя), вогнегасник аерозольний пінний (ДК 021:2015: 39162110-9 Навчальне приладдя), набір зі щитом відкритого типу (ДК 021:2015: 39162110-9 Навчальне приладдя), вогнегасник вуглекислотний (ДК 021: 2015: 39162110-9 Навчальне приладдя), протигаз цивільний ГП-7 (ДК 021:2015: 39162110-9 Навчальне приладдя), рукав пожежний (ДК 021:2015: 39162110-9 Навчальне приладдя), розгалуження рукавне (ДК 021:2015: 39162110-9 Навчальне приладдя), пожежний ствол (ДК 021:2015: 39162110-9 Навчальне приладдя), напірний рукав м’який (ДК 021:2015: 39162110-9 Навчальне приладдя), металошукач з зарядним пристроєм (ДК 021:2015: 39162110-9 Навчальне приладдя), комплект моделей «Іграшка-міна» (ДК 021:2015: 39162110-9 Навчальне приладдя), дитячий світлофор (електронний) (ДК 021:2015: 39162110-9 Навчальне приладдя), набір «Знаки дорожнього руху із світлофором» (ДК 021:2015: 39162110-9 Навчальне приладдя), дитяча форма ДСНС 140 розмір (ДК 021:2015: 39162110-9 Навчальне приладдя), дитяча форма </w:t>
      </w:r>
      <w:proofErr w:type="spellStart"/>
      <w:r w:rsidR="001B777E" w:rsidRPr="001B777E">
        <w:rPr>
          <w:rFonts w:cs="Times New Roman"/>
        </w:rPr>
        <w:t>вогнеборця</w:t>
      </w:r>
      <w:proofErr w:type="spellEnd"/>
      <w:r w:rsidR="001B777E" w:rsidRPr="001B777E">
        <w:rPr>
          <w:rFonts w:cs="Times New Roman"/>
        </w:rPr>
        <w:t xml:space="preserve"> 140 розмір (ДК 021:2015: 39162110-9 Навчальне приладдя), дитяча форма </w:t>
      </w:r>
      <w:proofErr w:type="spellStart"/>
      <w:r w:rsidR="001B777E" w:rsidRPr="001B777E">
        <w:rPr>
          <w:rFonts w:cs="Times New Roman"/>
        </w:rPr>
        <w:t>парамедика</w:t>
      </w:r>
      <w:proofErr w:type="spellEnd"/>
      <w:r w:rsidR="001B777E" w:rsidRPr="001B777E">
        <w:rPr>
          <w:rFonts w:cs="Times New Roman"/>
        </w:rPr>
        <w:t xml:space="preserve"> 140 розмір (ДК 021:2015: 39162110-9 Навчальне приладдя), дитяча форма поліцейського 140 розмір (ДК 021:2015: 39162110-9 Навчальне приладдя), жилет рятувальний дитячий (ДК 021:2015: 39162110-9 Навчальне приладдя), коло рятувальне (ДК 021:2015: 39162110-9 Навчальне приладдя), жилет рятувальний дорослий (ДК 021:2015: 39162110-9 Навчальне приладдя), рятувальний кінець Олександрова (ДК 021:2015: 39162110-9 Навчальне приладдя), рятувальний поплавок (ДК 021:2015: 39162110-9 Навчальне приладдя), рятувальні ноші (ДК 021:2015: 39162110-9 Навчальне приладдя), стенд «Правила безпеки на воді» (ДК 021:2015: 39162110-9 Навчальне приладдя), стенд «Безпека життєдіяльності» (ДК 021:2015: 39162110-9 Навчальне приладдя), аптечка індивідуальна багатоцільова «Швидка допомога» (ДК 021:2015: 39162110-9 Навчальне приладдя), сумка санітарна (ДК 021:2015: 39162110-9 Навчальне приладдя), турнікет </w:t>
      </w:r>
      <w:r w:rsidR="001B777E" w:rsidRPr="001B777E">
        <w:rPr>
          <w:rFonts w:cs="Times New Roman"/>
          <w:lang w:val="en-US"/>
        </w:rPr>
        <w:t>SWAT</w:t>
      </w:r>
      <w:r w:rsidR="001B777E" w:rsidRPr="001B777E">
        <w:rPr>
          <w:rFonts w:cs="Times New Roman"/>
        </w:rPr>
        <w:t>-</w:t>
      </w:r>
      <w:r w:rsidR="001B777E" w:rsidRPr="001B777E">
        <w:rPr>
          <w:rFonts w:cs="Times New Roman"/>
          <w:lang w:val="en-US"/>
        </w:rPr>
        <w:t>T</w:t>
      </w:r>
      <w:r w:rsidR="001B777E" w:rsidRPr="001B777E">
        <w:rPr>
          <w:rFonts w:cs="Times New Roman"/>
        </w:rPr>
        <w:t xml:space="preserve"> (ДК 021:2015: 39162110-9 Навчальне приладдя), турнікет кровоспинний </w:t>
      </w:r>
      <w:r w:rsidR="001B777E" w:rsidRPr="001B777E">
        <w:rPr>
          <w:rFonts w:cs="Times New Roman"/>
          <w:lang w:val="en-US"/>
        </w:rPr>
        <w:t>SICH</w:t>
      </w:r>
      <w:r w:rsidR="001B777E" w:rsidRPr="001B777E">
        <w:rPr>
          <w:rFonts w:cs="Times New Roman"/>
        </w:rPr>
        <w:t xml:space="preserve"> (ДК 021:2015: 39162110-9 Навчальне приладдя), конструктор «Шестерні з </w:t>
      </w:r>
      <w:r w:rsidR="001B777E" w:rsidRPr="001B777E">
        <w:rPr>
          <w:rFonts w:cs="Times New Roman"/>
        </w:rPr>
        <w:lastRenderedPageBreak/>
        <w:t>ланцюговим приводом» (ДК 021:2015: 39162110-9 Навчальне приладдя), ляльки-рукавички «Емоції» (ДК 021:2015: 39162110-9 Навчальне приладдя), ляльковий театр «Родина» (6 од.) (ДК 021:2015: 39162110-9 Навчальне приладдя), мішок для зняття гніву, агресії, злості (ДК 021:2015: 39162110-9 Навчальне приладдя), набір «Комахи» (ДК 021:2015: 39162110-9 Навчальне приладдя), м’ячі «Емоції» (ДК 021:2015: 39162110-9 Навчальне приладдя), набір сенсорних блоків (ДК 021:2015: 39162110-9 Навчальне приладдя), намет для терапії (ДК 021:2015: 39162110-9 Навчальне приладдя), намет підвісний (ДК 021:2015: 39162110-9 Навчальне приладдя), подушка з вбудованим джерелом світла (ДК 021:2015: 39162110-9 Навчальне приладдя), сенсорна сумка (ДК 021:2015: 39162110-9 Навчальне приладдя), синельний дріт (ДК 021:2015: 39162110-9 Навчальне приладдя), тактильна підлога синя/червона (ДК 021:2015: 39162110-9 Навчальне приладдя), тактильна підлога пурпурова (ДК 021:2015: 39162110-9 Навчальне приладдя), тактильна підлога зелена/жовта (ДК 021:2015: 39162110-9 Навчальне приладдя), тактильна підлога рожева/жовта (ДК 021:2015: 39162110-9 Навчальне приладдя), лампа-акваріум з рибками (ДК 021:2015: 39162110-9 Навчальне приладдя), лава лампа (ДК 021:2015: 39162110-9 Навчальне приладдя), набір стендів для оформлення кабінету безпеки (ДК 021:2015: 39162110-9 Навчальне приладдя), симулятор пожежної безпеки «Прасувальна дошка. Задимлення» (ДК 021:2015: 39162110-9 Навчальне приладдя), симулятор пожежної безпеки «Електрична духовка (ДК 021:2015: 39162110-9 Навчальне приладдя), набір комплектів наочних посібників-стендів «Вибухонебезпечні предмети» (ДК 021:2015: 39162110-9 Навчальне приладдя)</w:t>
      </w:r>
    </w:p>
    <w:p w:rsidR="00D7324E" w:rsidRDefault="00A24F66" w:rsidP="001B777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D7324E" w:rsidRDefault="00A24F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0A7D3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777E">
        <w:rPr>
          <w:rFonts w:eastAsia="Times New Roman" w:cs="Times New Roman"/>
          <w:color w:val="000000"/>
          <w:sz w:val="24"/>
          <w:szCs w:val="24"/>
        </w:rPr>
        <w:t>60</w:t>
      </w:r>
      <w:r w:rsidR="000A7D3F">
        <w:rPr>
          <w:rFonts w:eastAsia="Times New Roman" w:cs="Times New Roman"/>
          <w:color w:val="000000"/>
          <w:sz w:val="24"/>
          <w:szCs w:val="24"/>
        </w:rPr>
        <w:t xml:space="preserve"> штук</w:t>
      </w:r>
    </w:p>
    <w:p w:rsidR="00D7324E" w:rsidRPr="000A7D3F" w:rsidRDefault="00A24F66" w:rsidP="000A7D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Місце поставки товарів, виконання робіт чи надання </w:t>
      </w:r>
      <w:r w:rsidRPr="00192296">
        <w:rPr>
          <w:color w:val="000000"/>
          <w:sz w:val="24"/>
          <w:szCs w:val="24"/>
        </w:rPr>
        <w:t>послуг</w:t>
      </w:r>
      <w:bookmarkStart w:id="14" w:name="bookmark=id.lnxbz9" w:colFirst="0" w:colLast="0"/>
      <w:bookmarkEnd w:id="14"/>
      <w:r w:rsidRPr="00192296">
        <w:rPr>
          <w:color w:val="000000"/>
          <w:sz w:val="24"/>
          <w:szCs w:val="24"/>
        </w:rPr>
        <w:t>:</w:t>
      </w:r>
      <w:r w:rsidR="000A7D3F" w:rsidRPr="00192296">
        <w:rPr>
          <w:color w:val="000000"/>
          <w:sz w:val="24"/>
          <w:szCs w:val="24"/>
        </w:rPr>
        <w:t xml:space="preserve"> </w:t>
      </w:r>
      <w:r w:rsidR="000A7D3F" w:rsidRPr="00192296">
        <w:rPr>
          <w:rFonts w:eastAsia="Times New Roman" w:cs="Times New Roman"/>
          <w:color w:val="000000"/>
          <w:sz w:val="24"/>
          <w:szCs w:val="24"/>
        </w:rPr>
        <w:t>30100</w:t>
      </w:r>
      <w:r w:rsidR="000A7D3F">
        <w:rPr>
          <w:rFonts w:eastAsia="Times New Roman" w:cs="Times New Roman"/>
          <w:color w:val="000000"/>
          <w:sz w:val="24"/>
          <w:szCs w:val="24"/>
        </w:rPr>
        <w:t xml:space="preserve">, Хмельницька обл., Шепетівський район, м. </w:t>
      </w:r>
      <w:proofErr w:type="spellStart"/>
      <w:r w:rsidR="000A7D3F">
        <w:rPr>
          <w:rFonts w:eastAsia="Times New Roman" w:cs="Times New Roman"/>
          <w:color w:val="000000"/>
          <w:sz w:val="24"/>
          <w:szCs w:val="24"/>
        </w:rPr>
        <w:t>Нетішин</w:t>
      </w:r>
      <w:proofErr w:type="spellEnd"/>
      <w:r w:rsidR="000A7D3F">
        <w:rPr>
          <w:rFonts w:eastAsia="Times New Roman" w:cs="Times New Roman"/>
          <w:color w:val="000000"/>
          <w:sz w:val="24"/>
          <w:szCs w:val="24"/>
        </w:rPr>
        <w:t>, пр-т Незалежності, 7</w:t>
      </w:r>
    </w:p>
    <w:p w:rsidR="00D7324E" w:rsidRPr="000A7D3F" w:rsidRDefault="00A24F66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bookmarkStart w:id="15" w:name="bookmark=id.35nkun2" w:colFirst="0" w:colLast="0"/>
      <w:bookmarkEnd w:id="15"/>
      <w:r w:rsidR="001B777E">
        <w:rPr>
          <w:color w:val="000000"/>
          <w:sz w:val="24"/>
          <w:szCs w:val="24"/>
        </w:rPr>
        <w:t xml:space="preserve"> 495805</w:t>
      </w:r>
      <w:r w:rsidR="000A7D3F">
        <w:rPr>
          <w:color w:val="000000"/>
          <w:sz w:val="24"/>
          <w:szCs w:val="24"/>
        </w:rPr>
        <w:t>,00 грн. (</w:t>
      </w:r>
      <w:r w:rsidR="001B777E">
        <w:rPr>
          <w:color w:val="000000"/>
          <w:sz w:val="24"/>
          <w:szCs w:val="24"/>
        </w:rPr>
        <w:t xml:space="preserve">чотириста </w:t>
      </w:r>
      <w:proofErr w:type="spellStart"/>
      <w:r w:rsidR="001B777E">
        <w:rPr>
          <w:color w:val="000000"/>
          <w:sz w:val="24"/>
          <w:szCs w:val="24"/>
        </w:rPr>
        <w:t>дев</w:t>
      </w:r>
      <w:proofErr w:type="spellEnd"/>
      <w:r w:rsidR="001B777E" w:rsidRPr="001B777E">
        <w:rPr>
          <w:color w:val="000000"/>
          <w:sz w:val="24"/>
          <w:szCs w:val="24"/>
          <w:lang w:val="ru-RU"/>
        </w:rPr>
        <w:t>’</w:t>
      </w:r>
      <w:proofErr w:type="spellStart"/>
      <w:r w:rsidR="001B777E">
        <w:rPr>
          <w:color w:val="000000"/>
          <w:sz w:val="24"/>
          <w:szCs w:val="24"/>
        </w:rPr>
        <w:t>яносто</w:t>
      </w:r>
      <w:proofErr w:type="spellEnd"/>
      <w:r w:rsidR="001B777E">
        <w:rPr>
          <w:color w:val="000000"/>
          <w:sz w:val="24"/>
          <w:szCs w:val="24"/>
        </w:rPr>
        <w:t xml:space="preserve"> п</w:t>
      </w:r>
      <w:r w:rsidR="001B777E" w:rsidRPr="001B777E">
        <w:rPr>
          <w:color w:val="000000"/>
          <w:sz w:val="24"/>
          <w:szCs w:val="24"/>
          <w:lang w:val="ru-RU"/>
        </w:rPr>
        <w:t>’</w:t>
      </w:r>
      <w:r w:rsidR="001B777E">
        <w:rPr>
          <w:color w:val="000000"/>
          <w:sz w:val="24"/>
          <w:szCs w:val="24"/>
          <w:lang w:val="ru-RU"/>
        </w:rPr>
        <w:t>я</w:t>
      </w:r>
      <w:proofErr w:type="spellStart"/>
      <w:r w:rsidR="001B777E">
        <w:rPr>
          <w:color w:val="000000"/>
          <w:sz w:val="24"/>
          <w:szCs w:val="24"/>
        </w:rPr>
        <w:t>ть</w:t>
      </w:r>
      <w:proofErr w:type="spellEnd"/>
      <w:r w:rsidR="001B777E">
        <w:rPr>
          <w:color w:val="000000"/>
          <w:sz w:val="24"/>
          <w:szCs w:val="24"/>
        </w:rPr>
        <w:t xml:space="preserve"> тисяч вісімсот п</w:t>
      </w:r>
      <w:r w:rsidR="001B777E" w:rsidRPr="001B777E">
        <w:rPr>
          <w:color w:val="000000"/>
          <w:sz w:val="24"/>
          <w:szCs w:val="24"/>
          <w:lang w:val="ru-RU"/>
        </w:rPr>
        <w:t>’</w:t>
      </w:r>
      <w:r w:rsidR="001B777E">
        <w:rPr>
          <w:color w:val="000000"/>
          <w:sz w:val="24"/>
          <w:szCs w:val="24"/>
        </w:rPr>
        <w:t>ять</w:t>
      </w:r>
      <w:r w:rsidR="000A7D3F">
        <w:rPr>
          <w:color w:val="000000"/>
          <w:sz w:val="24"/>
          <w:szCs w:val="24"/>
        </w:rPr>
        <w:t xml:space="preserve"> гривень 00 копійок)</w:t>
      </w:r>
    </w:p>
    <w:p w:rsidR="00D7324E" w:rsidRDefault="00A24F66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6" w:name="bookmark=id.1ksv4uv" w:colFirst="0" w:colLast="0"/>
      <w:bookmarkEnd w:id="16"/>
      <w:r w:rsidR="000A7D3F">
        <w:rPr>
          <w:color w:val="000000"/>
          <w:sz w:val="24"/>
          <w:szCs w:val="24"/>
        </w:rPr>
        <w:t xml:space="preserve">до </w:t>
      </w:r>
      <w:r w:rsidR="001B777E">
        <w:rPr>
          <w:color w:val="000000"/>
          <w:sz w:val="24"/>
          <w:szCs w:val="24"/>
        </w:rPr>
        <w:t>30</w:t>
      </w:r>
      <w:r w:rsidR="000A7D3F">
        <w:rPr>
          <w:color w:val="000000"/>
          <w:sz w:val="24"/>
          <w:szCs w:val="24"/>
        </w:rPr>
        <w:t xml:space="preserve"> квітня 2024 року</w:t>
      </w:r>
    </w:p>
    <w:p w:rsidR="00D7324E" w:rsidRDefault="00A24F66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7" w:name="bookmark=id.44sinio" w:colFirst="0" w:colLast="0"/>
      <w:bookmarkEnd w:id="17"/>
      <w:r w:rsidR="007C070A">
        <w:rPr>
          <w:color w:val="000000"/>
          <w:sz w:val="24"/>
          <w:szCs w:val="24"/>
        </w:rPr>
        <w:t xml:space="preserve"> </w:t>
      </w:r>
      <w:r w:rsidR="00AB04FB">
        <w:rPr>
          <w:color w:val="000000"/>
          <w:sz w:val="24"/>
          <w:szCs w:val="24"/>
        </w:rPr>
        <w:t>27 березня</w:t>
      </w:r>
      <w:bookmarkStart w:id="18" w:name="_GoBack"/>
      <w:bookmarkEnd w:id="18"/>
      <w:r w:rsidR="009F34DC">
        <w:rPr>
          <w:color w:val="000000"/>
          <w:sz w:val="24"/>
          <w:szCs w:val="24"/>
        </w:rPr>
        <w:t xml:space="preserve"> 2024 року</w:t>
      </w:r>
    </w:p>
    <w:p w:rsidR="00D7324E" w:rsidRDefault="000A7D3F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Умови оплати:</w:t>
      </w:r>
    </w:p>
    <w:tbl>
      <w:tblPr>
        <w:tblStyle w:val="aa"/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1702"/>
        <w:gridCol w:w="1844"/>
        <w:gridCol w:w="992"/>
        <w:gridCol w:w="1376"/>
        <w:gridCol w:w="1064"/>
      </w:tblGrid>
      <w:tr w:rsidR="00D7324E">
        <w:tc>
          <w:tcPr>
            <w:tcW w:w="3432" w:type="dxa"/>
          </w:tcPr>
          <w:p w:rsidR="00D7324E" w:rsidRPr="00192296" w:rsidRDefault="00A24F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9" w:name="_heading=h.2jxsxqh" w:colFirst="0" w:colLast="0"/>
            <w:bookmarkEnd w:id="19"/>
            <w:r w:rsidRPr="00192296">
              <w:rPr>
                <w:rFonts w:ascii="Times New Roman" w:eastAsia="Calibri" w:hAnsi="Times New Roman" w:cs="Times New Roman"/>
                <w:b/>
              </w:rPr>
              <w:t>П</w:t>
            </w:r>
            <w:r w:rsidRPr="00192296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1702" w:type="dxa"/>
          </w:tcPr>
          <w:p w:rsidR="00D7324E" w:rsidRPr="00192296" w:rsidRDefault="00A24F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92296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844" w:type="dxa"/>
          </w:tcPr>
          <w:p w:rsidR="00D7324E" w:rsidRPr="00192296" w:rsidRDefault="00A24F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92296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:rsidR="00D7324E" w:rsidRPr="00192296" w:rsidRDefault="00A24F66">
            <w:pPr>
              <w:rPr>
                <w:rFonts w:ascii="Times New Roman" w:hAnsi="Times New Roman" w:cs="Times New Roman"/>
                <w:b/>
              </w:rPr>
            </w:pPr>
            <w:r w:rsidRPr="00192296">
              <w:rPr>
                <w:rFonts w:ascii="Times New Roman" w:hAnsi="Times New Roman" w:cs="Times New Roman"/>
                <w:b/>
              </w:rPr>
              <w:t>Період,</w:t>
            </w:r>
          </w:p>
          <w:p w:rsidR="00D7324E" w:rsidRPr="00192296" w:rsidRDefault="00A24F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92296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376" w:type="dxa"/>
          </w:tcPr>
          <w:p w:rsidR="00D7324E" w:rsidRPr="00192296" w:rsidRDefault="00A24F66">
            <w:pPr>
              <w:rPr>
                <w:rFonts w:ascii="Times New Roman" w:hAnsi="Times New Roman" w:cs="Times New Roman"/>
                <w:b/>
              </w:rPr>
            </w:pPr>
            <w:r w:rsidRPr="00192296">
              <w:rPr>
                <w:rFonts w:ascii="Times New Roman" w:hAnsi="Times New Roman" w:cs="Times New Roman"/>
                <w:b/>
              </w:rPr>
              <w:t>Тип</w:t>
            </w:r>
          </w:p>
          <w:p w:rsidR="00D7324E" w:rsidRPr="00192296" w:rsidRDefault="00A24F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92296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1064" w:type="dxa"/>
          </w:tcPr>
          <w:p w:rsidR="00D7324E" w:rsidRPr="00192296" w:rsidRDefault="00A24F66">
            <w:pPr>
              <w:rPr>
                <w:rFonts w:ascii="Times New Roman" w:hAnsi="Times New Roman" w:cs="Times New Roman"/>
                <w:b/>
              </w:rPr>
            </w:pPr>
            <w:r w:rsidRPr="00192296">
              <w:rPr>
                <w:rFonts w:ascii="Times New Roman" w:hAnsi="Times New Roman" w:cs="Times New Roman"/>
                <w:b/>
              </w:rPr>
              <w:t>Розмір</w:t>
            </w:r>
          </w:p>
          <w:p w:rsidR="00D7324E" w:rsidRPr="00192296" w:rsidRDefault="00A24F66">
            <w:pPr>
              <w:rPr>
                <w:rFonts w:ascii="Times New Roman" w:hAnsi="Times New Roman" w:cs="Times New Roman"/>
                <w:b/>
              </w:rPr>
            </w:pPr>
            <w:r w:rsidRPr="00192296">
              <w:rPr>
                <w:rFonts w:ascii="Times New Roman" w:hAnsi="Times New Roman" w:cs="Times New Roman"/>
                <w:b/>
              </w:rPr>
              <w:t>оплати,</w:t>
            </w:r>
          </w:p>
          <w:p w:rsidR="00D7324E" w:rsidRPr="00192296" w:rsidRDefault="00A24F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92296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D7324E">
        <w:tc>
          <w:tcPr>
            <w:tcW w:w="3432" w:type="dxa"/>
          </w:tcPr>
          <w:p w:rsidR="00D7324E" w:rsidRPr="00192296" w:rsidRDefault="00A24F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296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192296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1922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2296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192296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:rsidR="00D7324E" w:rsidRPr="00192296" w:rsidRDefault="00A24F66" w:rsidP="001922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92296">
              <w:rPr>
                <w:rFonts w:ascii="Times New Roman" w:hAnsi="Times New Roman" w:cs="Times New Roman"/>
                <w:highlight w:val="white"/>
              </w:rPr>
              <w:t>  </w:t>
            </w:r>
          </w:p>
        </w:tc>
        <w:tc>
          <w:tcPr>
            <w:tcW w:w="1702" w:type="dxa"/>
          </w:tcPr>
          <w:p w:rsidR="00D7324E" w:rsidRPr="00192296" w:rsidRDefault="00192296" w:rsidP="001922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92296">
              <w:rPr>
                <w:rFonts w:ascii="Times New Roman" w:hAnsi="Times New Roman" w:cs="Times New Roman"/>
                <w:color w:val="454545"/>
              </w:rPr>
              <w:t xml:space="preserve">Оплата вартості </w:t>
            </w:r>
            <w:proofErr w:type="spellStart"/>
            <w:r w:rsidRPr="00192296">
              <w:rPr>
                <w:rFonts w:ascii="Times New Roman" w:hAnsi="Times New Roman" w:cs="Times New Roman"/>
                <w:color w:val="454545"/>
              </w:rPr>
              <w:t>послугза</w:t>
            </w:r>
            <w:proofErr w:type="spellEnd"/>
            <w:r w:rsidRPr="00192296">
              <w:rPr>
                <w:rFonts w:ascii="Times New Roman" w:hAnsi="Times New Roman" w:cs="Times New Roman"/>
                <w:color w:val="454545"/>
              </w:rPr>
              <w:t xml:space="preserve"> цим Договором проводиться за умови наявності бюджетного фінансування</w:t>
            </w:r>
          </w:p>
        </w:tc>
        <w:tc>
          <w:tcPr>
            <w:tcW w:w="1844" w:type="dxa"/>
          </w:tcPr>
          <w:p w:rsidR="00D7324E" w:rsidRPr="00192296" w:rsidRDefault="00A24F66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192296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Pr="00192296">
              <w:rPr>
                <w:rFonts w:ascii="Times New Roman" w:hAnsi="Times New Roman" w:cs="Times New Roman"/>
                <w:highlight w:val="white"/>
              </w:rPr>
              <w:t> — спосіб грошових розрахунків між </w:t>
            </w:r>
            <w:hyperlink r:id="rId9">
              <w:r w:rsidRPr="00192296">
                <w:rPr>
                  <w:rFonts w:ascii="Times New Roman" w:hAnsi="Times New Roman" w:cs="Times New Roman"/>
                  <w:color w:val="00000A"/>
                  <w:u w:val="single"/>
                </w:rPr>
                <w:t>організаціями</w:t>
              </w:r>
            </w:hyperlink>
            <w:r w:rsidRPr="00192296">
              <w:rPr>
                <w:rFonts w:ascii="Times New Roman" w:eastAsia="Calibri" w:hAnsi="Times New Roman" w:cs="Times New Roman"/>
                <w:highlight w:val="white"/>
              </w:rPr>
              <w:t>,</w:t>
            </w:r>
            <w:r w:rsidRPr="00192296">
              <w:rPr>
                <w:rFonts w:ascii="Times New Roman" w:hAnsi="Times New Roman" w:cs="Times New Roman"/>
                <w:highlight w:val="white"/>
              </w:rPr>
              <w:t> </w:t>
            </w:r>
            <w:hyperlink r:id="rId10">
              <w:r w:rsidRPr="00192296">
                <w:rPr>
                  <w:rFonts w:ascii="Times New Roman" w:hAnsi="Times New Roman" w:cs="Times New Roman"/>
                  <w:color w:val="00000A"/>
                  <w:u w:val="single"/>
                </w:rPr>
                <w:t>підприємствами</w:t>
              </w:r>
            </w:hyperlink>
            <w:r w:rsidRPr="00192296">
              <w:rPr>
                <w:rFonts w:ascii="Times New Roman" w:eastAsia="Calibri" w:hAnsi="Times New Roman" w:cs="Times New Roman"/>
                <w:highlight w:val="white"/>
              </w:rPr>
              <w:t> </w:t>
            </w:r>
            <w:r w:rsidRPr="00192296">
              <w:rPr>
                <w:rFonts w:ascii="Times New Roman" w:hAnsi="Times New Roman" w:cs="Times New Roman"/>
                <w:highlight w:val="white"/>
              </w:rPr>
              <w:t>і </w:t>
            </w:r>
            <w:hyperlink r:id="rId11">
              <w:r w:rsidRPr="00192296">
                <w:rPr>
                  <w:rFonts w:ascii="Times New Roman" w:hAnsi="Times New Roman" w:cs="Times New Roman"/>
                  <w:color w:val="00000A"/>
                  <w:u w:val="single"/>
                </w:rPr>
                <w:t>громадянами</w:t>
              </w:r>
            </w:hyperlink>
            <w:r w:rsidRPr="00192296">
              <w:rPr>
                <w:rFonts w:ascii="Times New Roman" w:eastAsia="Calibri" w:hAnsi="Times New Roman" w:cs="Times New Roman"/>
                <w:highlight w:val="white"/>
              </w:rPr>
              <w:t xml:space="preserve">, </w:t>
            </w:r>
            <w:r w:rsidRPr="00192296">
              <w:rPr>
                <w:rFonts w:ascii="Times New Roman" w:hAnsi="Times New Roman" w:cs="Times New Roman"/>
                <w:highlight w:val="white"/>
              </w:rPr>
              <w:t>при яких оплата вартості </w:t>
            </w:r>
            <w:hyperlink r:id="rId12">
              <w:r w:rsidRPr="00192296">
                <w:rPr>
                  <w:rFonts w:ascii="Times New Roman" w:hAnsi="Times New Roman" w:cs="Times New Roman"/>
                  <w:color w:val="00000A"/>
                  <w:u w:val="single"/>
                </w:rPr>
                <w:t>товару</w:t>
              </w:r>
            </w:hyperlink>
            <w:r w:rsidRPr="00192296">
              <w:rPr>
                <w:rFonts w:ascii="Times New Roman" w:eastAsia="Calibri" w:hAnsi="Times New Roman" w:cs="Times New Roman"/>
                <w:highlight w:val="white"/>
              </w:rPr>
              <w:t> </w:t>
            </w:r>
            <w:r w:rsidRPr="00192296">
              <w:rPr>
                <w:rFonts w:ascii="Times New Roman" w:hAnsi="Times New Roman" w:cs="Times New Roman"/>
                <w:highlight w:val="white"/>
              </w:rPr>
              <w:t>здійснюється безпосередньо під час отримання його адресатом.</w:t>
            </w:r>
          </w:p>
          <w:p w:rsidR="00D7324E" w:rsidRPr="00192296" w:rsidRDefault="00D7324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D7324E" w:rsidRPr="00192296" w:rsidRDefault="0019229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9229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A24F66" w:rsidRPr="0019229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76" w:type="dxa"/>
          </w:tcPr>
          <w:p w:rsidR="00D7324E" w:rsidRPr="00192296" w:rsidRDefault="00A24F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92296">
              <w:rPr>
                <w:rFonts w:ascii="Times New Roman" w:hAnsi="Times New Roman" w:cs="Times New Roman"/>
              </w:rPr>
              <w:t>Робочі або календарні або  банківські</w:t>
            </w:r>
          </w:p>
        </w:tc>
        <w:tc>
          <w:tcPr>
            <w:tcW w:w="1064" w:type="dxa"/>
          </w:tcPr>
          <w:p w:rsidR="00D7324E" w:rsidRPr="00192296" w:rsidRDefault="00A24F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9229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7324E" w:rsidRDefault="00A24F66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20" w:name="bookmark=id.z337ya" w:colFirst="0" w:colLast="0"/>
      <w:bookmarkEnd w:id="20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21" w:name="bookmark=id.3j2qqm3" w:colFirst="0" w:colLast="0"/>
      <w:bookmarkEnd w:id="21"/>
      <w:r w:rsidR="00192296">
        <w:rPr>
          <w:color w:val="000000"/>
          <w:sz w:val="24"/>
          <w:szCs w:val="24"/>
        </w:rPr>
        <w:t xml:space="preserve"> українська</w:t>
      </w:r>
    </w:p>
    <w:p w:rsidR="00D7324E" w:rsidRDefault="00192296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A24F66">
        <w:rPr>
          <w:color w:val="000000"/>
          <w:sz w:val="24"/>
          <w:szCs w:val="24"/>
        </w:rPr>
        <w:t xml:space="preserve">. </w:t>
      </w:r>
      <w:r w:rsidR="00A24F66">
        <w:rPr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22" w:name="bookmark=kix.mjauxl5flzrf" w:colFirst="0" w:colLast="0"/>
      <w:bookmarkEnd w:id="22"/>
      <w:r>
        <w:rPr>
          <w:sz w:val="24"/>
          <w:szCs w:val="24"/>
        </w:rPr>
        <w:t xml:space="preserve"> 0,5%</w:t>
      </w:r>
    </w:p>
    <w:p w:rsidR="00D7324E" w:rsidRDefault="00D7324E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</w:p>
    <w:p w:rsidR="00D7324E" w:rsidRDefault="00D7324E">
      <w:pPr>
        <w:spacing w:after="0"/>
      </w:pPr>
    </w:p>
    <w:p w:rsidR="00D7324E" w:rsidRDefault="00D7324E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:rsidR="00192296" w:rsidRPr="00595206" w:rsidRDefault="00192296" w:rsidP="00192296">
      <w:pPr>
        <w:pStyle w:val="a5"/>
        <w:jc w:val="both"/>
        <w:rPr>
          <w:rFonts w:ascii="Times New Roman" w:hAnsi="Times New Roman" w:cs="Times New Roman"/>
        </w:rPr>
      </w:pPr>
      <w:r w:rsidRPr="00595206">
        <w:rPr>
          <w:rFonts w:ascii="Times New Roman" w:hAnsi="Times New Roman" w:cs="Times New Roman"/>
        </w:rPr>
        <w:t>Уповноважена особа</w:t>
      </w:r>
    </w:p>
    <w:p w:rsidR="00192296" w:rsidRPr="00595206" w:rsidRDefault="00192296" w:rsidP="00192296">
      <w:pPr>
        <w:pStyle w:val="a5"/>
        <w:ind w:left="-567"/>
        <w:jc w:val="both"/>
        <w:rPr>
          <w:rFonts w:ascii="Times New Roman" w:hAnsi="Times New Roman" w:cs="Times New Roman"/>
        </w:rPr>
      </w:pPr>
      <w:proofErr w:type="spellStart"/>
      <w:r w:rsidRPr="00595206">
        <w:rPr>
          <w:rFonts w:ascii="Times New Roman" w:hAnsi="Times New Roman" w:cs="Times New Roman"/>
          <w:u w:val="single"/>
        </w:rPr>
        <w:t>Нетішинського</w:t>
      </w:r>
      <w:proofErr w:type="spellEnd"/>
      <w:r>
        <w:rPr>
          <w:rFonts w:ascii="Times New Roman" w:hAnsi="Times New Roman" w:cs="Times New Roman"/>
          <w:u w:val="single"/>
        </w:rPr>
        <w:t xml:space="preserve"> академічного ліцею</w:t>
      </w:r>
      <w:r>
        <w:rPr>
          <w:rFonts w:ascii="Times New Roman" w:hAnsi="Times New Roman" w:cs="Times New Roman"/>
        </w:rPr>
        <w:t xml:space="preserve">                 </w:t>
      </w:r>
      <w:r w:rsidRPr="00595206">
        <w:rPr>
          <w:rFonts w:ascii="Times New Roman" w:hAnsi="Times New Roman" w:cs="Times New Roman"/>
        </w:rPr>
        <w:t xml:space="preserve">______________                     </w:t>
      </w:r>
      <w:r w:rsidRPr="00595206">
        <w:rPr>
          <w:rFonts w:ascii="Times New Roman" w:hAnsi="Times New Roman" w:cs="Times New Roman"/>
          <w:u w:val="single"/>
        </w:rPr>
        <w:t>М. КОЗІЙЧУК</w:t>
      </w:r>
      <w:r w:rsidRPr="00595206">
        <w:rPr>
          <w:rFonts w:ascii="Times New Roman" w:hAnsi="Times New Roman" w:cs="Times New Roman"/>
        </w:rPr>
        <w:t xml:space="preserve">  </w:t>
      </w:r>
    </w:p>
    <w:p w:rsidR="00D7324E" w:rsidRPr="001B777E" w:rsidRDefault="00192296" w:rsidP="001B777E">
      <w:pPr>
        <w:pStyle w:val="a5"/>
        <w:ind w:left="-567"/>
        <w:jc w:val="both"/>
        <w:rPr>
          <w:rFonts w:ascii="Times New Roman" w:eastAsia="Times New Roman" w:hAnsi="Times New Roman" w:cs="Times New Roman"/>
          <w:bCs/>
        </w:rPr>
      </w:pPr>
      <w:r w:rsidRPr="00595206">
        <w:rPr>
          <w:rFonts w:ascii="Times New Roman" w:hAnsi="Times New Roman" w:cs="Times New Roman"/>
          <w:i/>
          <w:sz w:val="18"/>
          <w:szCs w:val="18"/>
        </w:rPr>
        <w:t xml:space="preserve">                (найменування замовника)                                             підпис, </w:t>
      </w:r>
      <w:proofErr w:type="spellStart"/>
      <w:r w:rsidRPr="00595206">
        <w:rPr>
          <w:rFonts w:ascii="Times New Roman" w:hAnsi="Times New Roman" w:cs="Times New Roman"/>
          <w:i/>
          <w:sz w:val="18"/>
          <w:szCs w:val="18"/>
        </w:rPr>
        <w:t>м.п</w:t>
      </w:r>
      <w:proofErr w:type="spellEnd"/>
      <w:r w:rsidRPr="00595206">
        <w:rPr>
          <w:rFonts w:ascii="Times New Roman" w:hAnsi="Times New Roman" w:cs="Times New Roman"/>
          <w:i/>
          <w:sz w:val="18"/>
          <w:szCs w:val="18"/>
        </w:rPr>
        <w:t>.</w:t>
      </w:r>
      <w:r w:rsidRPr="00595206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(ініціал, ПРІЗВИЩЕ)</w:t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sectPr w:rsidR="00D7324E" w:rsidRPr="001B777E">
      <w:pgSz w:w="11906" w:h="16838"/>
      <w:pgMar w:top="566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2F9"/>
    <w:multiLevelType w:val="multilevel"/>
    <w:tmpl w:val="BFE680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DA20294"/>
    <w:multiLevelType w:val="multilevel"/>
    <w:tmpl w:val="46DCF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324E"/>
    <w:rsid w:val="000A7D3F"/>
    <w:rsid w:val="00192296"/>
    <w:rsid w:val="001B777E"/>
    <w:rsid w:val="00384105"/>
    <w:rsid w:val="006F31AD"/>
    <w:rsid w:val="007C070A"/>
    <w:rsid w:val="009F34DC"/>
    <w:rsid w:val="00A24F66"/>
    <w:rsid w:val="00AB04FB"/>
    <w:rsid w:val="00D7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link w:val="a6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6">
    <w:name w:val="Без інтервалів Знак"/>
    <w:link w:val="a5"/>
    <w:locked/>
    <w:rsid w:val="000A7D3F"/>
    <w:rPr>
      <w:rFonts w:ascii="Calibri" w:eastAsia="SimSun" w:hAnsi="Calibri" w:cs="SimSu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link w:val="a6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6">
    <w:name w:val="Без інтервалів Знак"/>
    <w:link w:val="a5"/>
    <w:locked/>
    <w:rsid w:val="000A7D3F"/>
    <w:rPr>
      <w:rFonts w:ascii="Calibri" w:eastAsia="SimSun" w:hAnsi="Calibri" w:cs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610-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uk.wikipedia.org/wiki/%D0%A2%D0%BE%D0%B2%D0%B0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3%D1%80%D0%BE%D0%BC%D0%B0%D0%B4%D1%8F%D0%BD%D0%B8%D0%B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k.wikipedia.org/wiki/%D0%9F%D1%96%D0%B4%D0%BF%D1%80%D0%B8%D1%94%D0%BC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E%D1%80%D0%B3%D0%B0%D0%BD%D1%96%D0%B7%D0%B0%D1%86%D1%96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dPwiMomiZ3PwpkRAfZpnWdjv5w==">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10217</Words>
  <Characters>5824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Учень2</cp:lastModifiedBy>
  <cp:revision>15</cp:revision>
  <dcterms:created xsi:type="dcterms:W3CDTF">2024-03-04T06:30:00Z</dcterms:created>
  <dcterms:modified xsi:type="dcterms:W3CDTF">2024-03-18T13:07:00Z</dcterms:modified>
</cp:coreProperties>
</file>