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7667D5" w:rsidRPr="007667D5" w:rsidRDefault="007667D5" w:rsidP="007667D5">
      <w:pPr>
        <w:contextualSpacing/>
        <w:jc w:val="center"/>
        <w:rPr>
          <w:rFonts w:eastAsia="Calibri"/>
          <w:b/>
          <w:bCs/>
          <w:iCs/>
          <w:color w:val="auto"/>
          <w:shd w:val="clear" w:color="auto" w:fill="FFFFFF"/>
          <w:lang w:eastAsia="en-US"/>
        </w:rPr>
      </w:pPr>
      <w:r w:rsidRPr="007667D5">
        <w:rPr>
          <w:rFonts w:eastAsia="Calibri"/>
          <w:b/>
          <w:bCs/>
          <w:iCs/>
          <w:color w:val="auto"/>
          <w:shd w:val="clear" w:color="auto" w:fill="FFFFFF"/>
          <w:lang w:eastAsia="en-US"/>
        </w:rPr>
        <w:t xml:space="preserve">Інформація про необхідні технічні, якісні та кількісні характеристики предмета закупівлі </w:t>
      </w:r>
    </w:p>
    <w:p w:rsidR="007667D5" w:rsidRPr="007667D5" w:rsidRDefault="007667D5" w:rsidP="007667D5">
      <w:pPr>
        <w:contextualSpacing/>
        <w:jc w:val="center"/>
        <w:rPr>
          <w:rFonts w:eastAsia="Calibri"/>
          <w:color w:val="auto"/>
          <w:lang w:eastAsia="en-US"/>
        </w:rPr>
      </w:pPr>
      <w:r w:rsidRPr="007667D5">
        <w:rPr>
          <w:rFonts w:eastAsia="Calibri"/>
          <w:b/>
          <w:bCs/>
          <w:i/>
          <w:iCs/>
          <w:color w:val="auto"/>
          <w:shd w:val="clear" w:color="auto" w:fill="FFFFFF"/>
          <w:lang w:eastAsia="en-US"/>
        </w:rPr>
        <w:t>Технічні вимоги до предмета закупівлі</w:t>
      </w:r>
    </w:p>
    <w:p w:rsidR="007667D5" w:rsidRPr="007667D5" w:rsidRDefault="007667D5" w:rsidP="007667D5">
      <w:pPr>
        <w:shd w:val="clear" w:color="auto" w:fill="FFFFFF"/>
        <w:contextualSpacing/>
        <w:jc w:val="center"/>
        <w:rPr>
          <w:rFonts w:eastAsia="Calibri"/>
          <w:b/>
          <w:i/>
          <w:u w:val="single"/>
          <w:lang w:eastAsia="en-US"/>
        </w:rPr>
      </w:pPr>
      <w:r w:rsidRPr="007667D5">
        <w:rPr>
          <w:rFonts w:eastAsia="Calibri"/>
          <w:b/>
          <w:i/>
          <w:color w:val="auto"/>
          <w:u w:val="single"/>
          <w:lang w:eastAsia="en-US"/>
        </w:rPr>
        <w:t xml:space="preserve">код </w:t>
      </w:r>
      <w:bookmarkStart w:id="0" w:name="_GoBack"/>
      <w:r w:rsidRPr="007667D5">
        <w:rPr>
          <w:rFonts w:eastAsia="Calibri"/>
          <w:b/>
          <w:i/>
          <w:color w:val="auto"/>
          <w:u w:val="single"/>
          <w:lang w:eastAsia="en-US"/>
        </w:rPr>
        <w:t xml:space="preserve">03220000-9 «Овочі, фрукти та горіхи» Єдиний закупівельний словник ДК 021:2015 </w:t>
      </w:r>
    </w:p>
    <w:p w:rsidR="007667D5" w:rsidRPr="007667D5" w:rsidRDefault="007667D5" w:rsidP="007667D5">
      <w:pPr>
        <w:shd w:val="clear" w:color="auto" w:fill="FFFFFF"/>
        <w:contextualSpacing/>
        <w:jc w:val="center"/>
        <w:rPr>
          <w:rFonts w:eastAsia="Calibri"/>
          <w:b/>
          <w:color w:val="auto"/>
          <w:lang w:eastAsia="en-US"/>
        </w:rPr>
      </w:pPr>
      <w:r w:rsidRPr="007667D5">
        <w:rPr>
          <w:rFonts w:eastAsia="Calibri"/>
          <w:b/>
          <w:i/>
          <w:color w:val="auto"/>
          <w:u w:val="single"/>
          <w:lang w:eastAsia="en-US"/>
        </w:rPr>
        <w:t>(Буряк; Капуста; Морква)</w:t>
      </w:r>
      <w:bookmarkEnd w:id="0"/>
      <w:r w:rsidRPr="007667D5">
        <w:rPr>
          <w:rFonts w:eastAsia="Calibri"/>
          <w:b/>
          <w:color w:val="auto"/>
          <w:lang w:eastAsia="en-US"/>
        </w:rPr>
        <w:t xml:space="preserve"> </w:t>
      </w:r>
    </w:p>
    <w:p w:rsidR="007667D5" w:rsidRPr="007667D5" w:rsidRDefault="007667D5" w:rsidP="007667D5">
      <w:pPr>
        <w:shd w:val="clear" w:color="auto" w:fill="FFFFFF"/>
        <w:contextualSpacing/>
        <w:jc w:val="center"/>
        <w:rPr>
          <w:rFonts w:eastAsia="Calibri"/>
          <w:b/>
          <w:color w:val="auto"/>
          <w:lang w:eastAsia="en-US"/>
        </w:rPr>
      </w:pPr>
      <w:r w:rsidRPr="007667D5">
        <w:rPr>
          <w:rFonts w:eastAsia="Calibri"/>
          <w:b/>
          <w:color w:val="auto"/>
          <w:lang w:eastAsia="en-US"/>
        </w:rPr>
        <w:t xml:space="preserve"> </w:t>
      </w:r>
    </w:p>
    <w:p w:rsidR="007667D5" w:rsidRPr="007667D5" w:rsidRDefault="007667D5" w:rsidP="007667D5">
      <w:pPr>
        <w:widowControl w:val="0"/>
        <w:contextualSpacing/>
        <w:jc w:val="both"/>
        <w:rPr>
          <w:b/>
          <w:color w:val="auto"/>
        </w:rPr>
      </w:pPr>
      <w:r w:rsidRPr="007667D5">
        <w:rPr>
          <w:b/>
          <w:color w:val="auto"/>
        </w:rPr>
        <w:t>Загальні вимоги:</w:t>
      </w:r>
    </w:p>
    <w:p w:rsidR="007667D5" w:rsidRPr="007667D5" w:rsidRDefault="007667D5" w:rsidP="007667D5">
      <w:pPr>
        <w:contextualSpacing/>
        <w:jc w:val="both"/>
        <w:rPr>
          <w:color w:val="auto"/>
        </w:rPr>
      </w:pPr>
      <w:r w:rsidRPr="007667D5">
        <w:rPr>
          <w:rFonts w:eastAsia="Calibri"/>
          <w:color w:val="auto"/>
          <w:lang w:eastAsia="en-US"/>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 вимогам до предмету закупівлі, встановленим у даному додатку та всіх інших вимог Тендерної Документації.</w:t>
      </w:r>
    </w:p>
    <w:p w:rsidR="007667D5" w:rsidRPr="007667D5" w:rsidRDefault="007667D5" w:rsidP="007667D5">
      <w:pPr>
        <w:ind w:firstLine="708"/>
        <w:contextualSpacing/>
        <w:jc w:val="both"/>
        <w:rPr>
          <w:rFonts w:eastAsia="Calibri"/>
          <w:i/>
          <w:color w:val="auto"/>
          <w:lang w:eastAsia="en-US"/>
        </w:rPr>
      </w:pPr>
      <w:r w:rsidRPr="007667D5">
        <w:rPr>
          <w:rFonts w:eastAsia="Calibri"/>
          <w:i/>
          <w:color w:val="auto"/>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2. Товар, запропонований Учасником, за своїми якісними характеристиками повинен відповідати національним стандартам (</w:t>
      </w:r>
      <w:r w:rsidRPr="007667D5">
        <w:rPr>
          <w:rFonts w:eastAsia="Calibri"/>
          <w:b/>
          <w:bCs/>
          <w:color w:val="auto"/>
          <w:lang w:eastAsia="en-US"/>
        </w:rPr>
        <w:t>Буряк</w:t>
      </w:r>
      <w:r w:rsidRPr="007667D5">
        <w:rPr>
          <w:rFonts w:ascii="Calibri" w:eastAsia="Calibri" w:hAnsi="Calibri"/>
          <w:color w:val="auto"/>
          <w:sz w:val="22"/>
          <w:szCs w:val="22"/>
          <w:lang w:val="ru-RU" w:eastAsia="en-US"/>
        </w:rPr>
        <w:t xml:space="preserve"> </w:t>
      </w:r>
      <w:r w:rsidRPr="007667D5">
        <w:rPr>
          <w:rFonts w:eastAsia="Calibri"/>
          <w:bCs/>
          <w:color w:val="auto"/>
          <w:lang w:eastAsia="en-US"/>
        </w:rPr>
        <w:t>відповідно до ДСТУ 7033:2009 «Буряк столовий свіжий. Технічні умови»;</w:t>
      </w:r>
      <w:r w:rsidRPr="007667D5">
        <w:rPr>
          <w:rFonts w:eastAsia="Calibri"/>
          <w:b/>
          <w:bCs/>
          <w:color w:val="auto"/>
          <w:lang w:eastAsia="en-US"/>
        </w:rPr>
        <w:t xml:space="preserve"> Капуста</w:t>
      </w:r>
      <w:r w:rsidRPr="007667D5">
        <w:rPr>
          <w:rFonts w:ascii="Calibri" w:eastAsia="Calibri" w:hAnsi="Calibri"/>
          <w:color w:val="auto"/>
          <w:sz w:val="22"/>
          <w:szCs w:val="22"/>
          <w:lang w:eastAsia="en-US"/>
        </w:rPr>
        <w:t xml:space="preserve"> </w:t>
      </w:r>
      <w:r w:rsidRPr="007667D5">
        <w:rPr>
          <w:rFonts w:eastAsia="Calibri"/>
          <w:bCs/>
          <w:color w:val="auto"/>
          <w:lang w:eastAsia="en-US"/>
        </w:rPr>
        <w:t>відповідно до ДСТУ 7037:2009 «Капуста білоголова свіжа. Технічні умови»;</w:t>
      </w:r>
      <w:r w:rsidRPr="007667D5">
        <w:rPr>
          <w:rFonts w:eastAsia="Calibri"/>
          <w:b/>
          <w:bCs/>
          <w:color w:val="auto"/>
          <w:lang w:eastAsia="en-US"/>
        </w:rPr>
        <w:t xml:space="preserve"> Морква</w:t>
      </w:r>
      <w:r w:rsidRPr="007667D5">
        <w:rPr>
          <w:rFonts w:ascii="Calibri" w:eastAsia="Calibri" w:hAnsi="Calibri"/>
          <w:color w:val="auto"/>
          <w:sz w:val="22"/>
          <w:szCs w:val="22"/>
          <w:lang w:eastAsia="en-US"/>
        </w:rPr>
        <w:t xml:space="preserve"> </w:t>
      </w:r>
      <w:r w:rsidRPr="007667D5">
        <w:rPr>
          <w:rFonts w:eastAsia="Calibri"/>
          <w:bCs/>
          <w:color w:val="auto"/>
          <w:lang w:eastAsia="en-US"/>
        </w:rPr>
        <w:t>відповідно до ДСТУ 7035:2009</w:t>
      </w:r>
      <w:r w:rsidR="00F771CB">
        <w:rPr>
          <w:rFonts w:eastAsia="Calibri"/>
          <w:bCs/>
          <w:color w:val="auto"/>
          <w:lang w:eastAsia="en-US"/>
        </w:rPr>
        <w:t xml:space="preserve"> «Морква свіжа. Технічні умови»</w:t>
      </w:r>
      <w:r w:rsidRPr="007667D5">
        <w:rPr>
          <w:rFonts w:eastAsia="Calibri"/>
          <w:bCs/>
          <w:color w:val="auto"/>
          <w:lang w:eastAsia="en-US"/>
        </w:rPr>
        <w:t>)</w:t>
      </w:r>
      <w:r w:rsidRPr="007667D5">
        <w:rPr>
          <w:rFonts w:eastAsia="Calibri"/>
          <w:color w:val="auto"/>
          <w:lang w:eastAsia="en-US"/>
        </w:rPr>
        <w:t>,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7667D5" w:rsidRPr="007667D5" w:rsidRDefault="007667D5" w:rsidP="007667D5">
      <w:pPr>
        <w:contextualSpacing/>
        <w:jc w:val="both"/>
        <w:rPr>
          <w:rFonts w:eastAsia="Calibri"/>
          <w:b/>
          <w:color w:val="auto"/>
          <w:u w:val="single"/>
          <w:lang w:eastAsia="en-US"/>
        </w:rPr>
      </w:pPr>
      <w:r w:rsidRPr="007667D5">
        <w:rPr>
          <w:rFonts w:eastAsia="Calibri"/>
          <w:color w:val="auto"/>
          <w:lang w:eastAsia="en-US"/>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 xml:space="preserve">3. Транспортування: Доставка Товару </w:t>
      </w:r>
      <w:r w:rsidRPr="007667D5">
        <w:rPr>
          <w:rFonts w:eastAsia="Calibri"/>
          <w:color w:val="auto"/>
          <w:shd w:val="clear" w:color="auto" w:fill="FFFFFF"/>
          <w:lang w:eastAsia="en-US"/>
        </w:rPr>
        <w:t>повинна здійснюватися у спеціалізованому транспорті відповідно даного товару</w:t>
      </w:r>
      <w:r w:rsidRPr="007667D5">
        <w:rPr>
          <w:rFonts w:eastAsia="Calibri"/>
          <w:color w:val="auto"/>
          <w:lang w:eastAsia="en-US"/>
        </w:rPr>
        <w:t xml:space="preserve"> (</w:t>
      </w:r>
      <w:r w:rsidRPr="007667D5">
        <w:rPr>
          <w:rFonts w:eastAsia="Calibri"/>
          <w:b/>
          <w:bCs/>
          <w:color w:val="auto"/>
          <w:lang w:eastAsia="en-US"/>
        </w:rPr>
        <w:t>Буряк</w:t>
      </w:r>
      <w:r w:rsidRPr="007667D5">
        <w:rPr>
          <w:rFonts w:ascii="Calibri" w:eastAsia="Calibri" w:hAnsi="Calibri"/>
          <w:color w:val="auto"/>
          <w:sz w:val="22"/>
          <w:szCs w:val="22"/>
          <w:lang w:eastAsia="en-US"/>
        </w:rPr>
        <w:t xml:space="preserve"> </w:t>
      </w:r>
      <w:r w:rsidRPr="007667D5">
        <w:rPr>
          <w:rFonts w:eastAsia="Calibri"/>
          <w:bCs/>
          <w:color w:val="auto"/>
          <w:lang w:eastAsia="en-US"/>
        </w:rPr>
        <w:t>відповідно до ДСТУ 7033:2009 «Буряк столовий свіжий. Технічні умови»;</w:t>
      </w:r>
      <w:r w:rsidRPr="007667D5">
        <w:rPr>
          <w:rFonts w:eastAsia="Calibri"/>
          <w:b/>
          <w:bCs/>
          <w:color w:val="auto"/>
          <w:lang w:eastAsia="en-US"/>
        </w:rPr>
        <w:t xml:space="preserve"> Капуста</w:t>
      </w:r>
      <w:r w:rsidRPr="007667D5">
        <w:rPr>
          <w:rFonts w:ascii="Calibri" w:eastAsia="Calibri" w:hAnsi="Calibri"/>
          <w:color w:val="auto"/>
          <w:sz w:val="22"/>
          <w:szCs w:val="22"/>
          <w:lang w:eastAsia="en-US"/>
        </w:rPr>
        <w:t xml:space="preserve"> </w:t>
      </w:r>
      <w:r w:rsidRPr="007667D5">
        <w:rPr>
          <w:rFonts w:eastAsia="Calibri"/>
          <w:bCs/>
          <w:color w:val="auto"/>
          <w:lang w:eastAsia="en-US"/>
        </w:rPr>
        <w:t>відповідно до ДСТУ 7037:2009 «Капуста білоголова свіжа. Технічні умови»;</w:t>
      </w:r>
      <w:r w:rsidRPr="007667D5">
        <w:rPr>
          <w:rFonts w:eastAsia="Calibri"/>
          <w:b/>
          <w:bCs/>
          <w:color w:val="auto"/>
          <w:lang w:eastAsia="en-US"/>
        </w:rPr>
        <w:t xml:space="preserve"> Морква</w:t>
      </w:r>
      <w:r w:rsidRPr="007667D5">
        <w:rPr>
          <w:rFonts w:ascii="Calibri" w:eastAsia="Calibri" w:hAnsi="Calibri"/>
          <w:color w:val="auto"/>
          <w:sz w:val="22"/>
          <w:szCs w:val="22"/>
          <w:lang w:eastAsia="en-US"/>
        </w:rPr>
        <w:t xml:space="preserve"> </w:t>
      </w:r>
      <w:r w:rsidRPr="007667D5">
        <w:rPr>
          <w:rFonts w:eastAsia="Calibri"/>
          <w:bCs/>
          <w:color w:val="auto"/>
          <w:lang w:eastAsia="en-US"/>
        </w:rPr>
        <w:t>відповідно до ДСТУ 7035:2009</w:t>
      </w:r>
      <w:r w:rsidR="00F771CB">
        <w:rPr>
          <w:rFonts w:eastAsia="Calibri"/>
          <w:bCs/>
          <w:color w:val="auto"/>
          <w:lang w:eastAsia="en-US"/>
        </w:rPr>
        <w:t xml:space="preserve"> «Морква свіжа. Технічні умови»</w:t>
      </w:r>
      <w:r w:rsidRPr="007667D5">
        <w:rPr>
          <w:rFonts w:eastAsia="Calibri"/>
          <w:bCs/>
          <w:color w:val="auto"/>
          <w:lang w:eastAsia="en-US"/>
        </w:rPr>
        <w:t>)</w:t>
      </w:r>
      <w:r w:rsidRPr="007667D5">
        <w:rPr>
          <w:rFonts w:eastAsia="Calibri"/>
          <w:color w:val="auto"/>
          <w:lang w:eastAsia="en-US"/>
        </w:rPr>
        <w:t>. 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80 % від загального строку придатності.</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lastRenderedPageBreak/>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7667D5" w:rsidRPr="007667D5" w:rsidRDefault="007667D5" w:rsidP="007667D5">
      <w:pPr>
        <w:contextualSpacing/>
        <w:jc w:val="both"/>
        <w:rPr>
          <w:rFonts w:eastAsia="Calibri"/>
          <w:color w:val="auto"/>
          <w:lang w:eastAsia="en-US"/>
        </w:rPr>
      </w:pPr>
      <w:r w:rsidRPr="007667D5">
        <w:rPr>
          <w:rFonts w:eastAsia="Calibri"/>
          <w:color w:val="auto"/>
          <w:lang w:eastAsia="en-US"/>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C556FF" w:rsidRDefault="007667D5" w:rsidP="007667D5">
      <w:pPr>
        <w:widowControl w:val="0"/>
        <w:contextualSpacing/>
        <w:jc w:val="both"/>
        <w:rPr>
          <w:color w:val="auto"/>
        </w:rPr>
      </w:pPr>
      <w:r w:rsidRPr="007667D5">
        <w:rPr>
          <w:color w:val="auto"/>
        </w:rPr>
        <w:tab/>
      </w:r>
    </w:p>
    <w:p w:rsidR="007667D5" w:rsidRPr="007667D5" w:rsidRDefault="007667D5" w:rsidP="007667D5">
      <w:pPr>
        <w:widowControl w:val="0"/>
        <w:contextualSpacing/>
        <w:jc w:val="both"/>
        <w:rPr>
          <w:i/>
          <w:color w:val="auto"/>
        </w:rPr>
      </w:pPr>
      <w:r w:rsidRPr="007667D5">
        <w:rPr>
          <w:i/>
          <w:color w:val="auto"/>
        </w:rPr>
        <w:t>На підтвердження Учасник повинен надати лист в довільній формі щодо відповідності вимогам, вказаним у вищевказаних пунктах.</w:t>
      </w:r>
    </w:p>
    <w:p w:rsidR="007667D5" w:rsidRDefault="00176C46" w:rsidP="007667D5">
      <w:pPr>
        <w:pStyle w:val="a3"/>
        <w:widowControl w:val="0"/>
        <w:spacing w:before="0" w:beforeAutospacing="0" w:after="0" w:afterAutospacing="0"/>
        <w:contextualSpacing/>
        <w:jc w:val="both"/>
        <w:rPr>
          <w:i/>
          <w:color w:val="auto"/>
          <w:lang w:val="uk-UA"/>
        </w:rPr>
      </w:pPr>
      <w:r>
        <w:rPr>
          <w:i/>
          <w:color w:val="auto"/>
          <w:lang w:val="uk-UA"/>
        </w:rPr>
        <w:t xml:space="preserve">                                                                       </w:t>
      </w:r>
      <w:r w:rsidR="007667D5">
        <w:rPr>
          <w:i/>
          <w:color w:val="auto"/>
          <w:lang w:val="uk-UA"/>
        </w:rPr>
        <w:t xml:space="preserve">               </w:t>
      </w:r>
    </w:p>
    <w:p w:rsidR="00C556FF" w:rsidRDefault="00C556FF" w:rsidP="007667D5">
      <w:pPr>
        <w:pStyle w:val="a3"/>
        <w:widowControl w:val="0"/>
        <w:spacing w:before="0" w:beforeAutospacing="0" w:after="0" w:afterAutospacing="0"/>
        <w:contextualSpacing/>
        <w:jc w:val="both"/>
        <w:rPr>
          <w:i/>
          <w:color w:val="auto"/>
          <w:lang w:val="uk-UA"/>
        </w:rPr>
      </w:pPr>
    </w:p>
    <w:p w:rsidR="007667D5" w:rsidRPr="007667D5" w:rsidRDefault="00176C46" w:rsidP="007667D5">
      <w:pPr>
        <w:pStyle w:val="a3"/>
        <w:widowControl w:val="0"/>
        <w:spacing w:before="0" w:beforeAutospacing="0" w:after="0" w:afterAutospacing="0"/>
        <w:contextualSpacing/>
        <w:jc w:val="both"/>
        <w:rPr>
          <w:color w:val="auto"/>
        </w:rPr>
      </w:pPr>
      <w:r>
        <w:rPr>
          <w:i/>
          <w:color w:val="auto"/>
          <w:lang w:val="uk-UA"/>
        </w:rPr>
        <w:t xml:space="preserve"> </w:t>
      </w:r>
      <w:r w:rsidR="007667D5" w:rsidRPr="007667D5">
        <w:rPr>
          <w:b/>
          <w:color w:val="auto"/>
        </w:rPr>
        <w:t>Таблиця 1 Номенклатура та обсяги закупівлі</w:t>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7229"/>
        <w:gridCol w:w="1047"/>
        <w:gridCol w:w="1221"/>
      </w:tblGrid>
      <w:tr w:rsidR="007667D5" w:rsidRPr="007667D5" w:rsidTr="00183409">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7667D5" w:rsidRPr="007667D5" w:rsidRDefault="007667D5" w:rsidP="007667D5">
            <w:pPr>
              <w:ind w:firstLine="5"/>
              <w:contextualSpacing/>
              <w:jc w:val="center"/>
              <w:rPr>
                <w:b/>
                <w:bCs/>
                <w:color w:val="auto"/>
                <w:lang w:eastAsia="en-US"/>
              </w:rPr>
            </w:pPr>
            <w:r w:rsidRPr="007667D5">
              <w:rPr>
                <w:rFonts w:eastAsia="Calibri"/>
                <w:b/>
                <w:bCs/>
                <w:color w:val="auto"/>
                <w:lang w:eastAsia="en-US"/>
              </w:rPr>
              <w:t xml:space="preserve">№ </w:t>
            </w:r>
          </w:p>
        </w:tc>
        <w:tc>
          <w:tcPr>
            <w:tcW w:w="722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7667D5" w:rsidRPr="007667D5" w:rsidRDefault="007667D5" w:rsidP="007667D5">
            <w:pPr>
              <w:keepNext/>
              <w:numPr>
                <w:ilvl w:val="2"/>
                <w:numId w:val="10"/>
              </w:numPr>
              <w:spacing w:after="200" w:line="276" w:lineRule="auto"/>
              <w:contextualSpacing/>
              <w:jc w:val="center"/>
              <w:outlineLvl w:val="2"/>
              <w:rPr>
                <w:b/>
                <w:bCs/>
                <w:color w:val="auto"/>
                <w:lang w:eastAsia="uk-UA"/>
              </w:rPr>
            </w:pPr>
            <w:r w:rsidRPr="007667D5">
              <w:rPr>
                <w:b/>
                <w:bCs/>
                <w:color w:val="auto"/>
                <w:lang w:eastAsia="uk-UA"/>
              </w:rPr>
              <w:t>Найменування</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7667D5" w:rsidRPr="007667D5" w:rsidRDefault="007667D5" w:rsidP="007667D5">
            <w:pPr>
              <w:ind w:firstLine="5"/>
              <w:contextualSpacing/>
              <w:jc w:val="center"/>
              <w:rPr>
                <w:rFonts w:eastAsia="Calibri"/>
                <w:b/>
                <w:bCs/>
                <w:color w:val="auto"/>
                <w:lang w:eastAsia="en-US"/>
              </w:rPr>
            </w:pPr>
            <w:r w:rsidRPr="007667D5">
              <w:rPr>
                <w:rFonts w:eastAsia="Calibri"/>
                <w:b/>
                <w:bCs/>
                <w:color w:val="auto"/>
                <w:lang w:eastAsia="en-US"/>
              </w:rPr>
              <w:t>Одиниці виміру</w:t>
            </w:r>
          </w:p>
        </w:tc>
        <w:tc>
          <w:tcPr>
            <w:tcW w:w="1221" w:type="dxa"/>
            <w:tcBorders>
              <w:top w:val="single" w:sz="8" w:space="0" w:color="auto"/>
              <w:left w:val="single" w:sz="6" w:space="0" w:color="auto"/>
              <w:bottom w:val="single" w:sz="6" w:space="0" w:color="auto"/>
              <w:right w:val="single" w:sz="8" w:space="0" w:color="auto"/>
            </w:tcBorders>
            <w:hideMark/>
          </w:tcPr>
          <w:p w:rsidR="007667D5" w:rsidRPr="007667D5" w:rsidRDefault="007667D5" w:rsidP="007667D5">
            <w:pPr>
              <w:ind w:firstLine="5"/>
              <w:contextualSpacing/>
              <w:jc w:val="center"/>
              <w:rPr>
                <w:rFonts w:eastAsia="Calibri"/>
                <w:b/>
                <w:bCs/>
                <w:color w:val="auto"/>
                <w:lang w:eastAsia="en-US"/>
              </w:rPr>
            </w:pPr>
            <w:r w:rsidRPr="007667D5">
              <w:rPr>
                <w:rFonts w:eastAsia="Calibri"/>
                <w:b/>
                <w:color w:val="auto"/>
                <w:lang w:eastAsia="en-US"/>
              </w:rPr>
              <w:t>Кількість</w:t>
            </w:r>
          </w:p>
        </w:tc>
      </w:tr>
      <w:tr w:rsidR="007667D5" w:rsidRPr="007667D5" w:rsidTr="00183409">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numPr>
                <w:ilvl w:val="0"/>
                <w:numId w:val="5"/>
              </w:numPr>
              <w:spacing w:after="200" w:line="276" w:lineRule="auto"/>
              <w:ind w:hanging="357"/>
              <w:contextualSpacing/>
              <w:jc w:val="center"/>
              <w:rPr>
                <w:b/>
                <w:bCs/>
                <w:color w:val="auto"/>
                <w:lang w:eastAsia="en-US"/>
              </w:rPr>
            </w:pPr>
          </w:p>
        </w:tc>
        <w:tc>
          <w:tcPr>
            <w:tcW w:w="722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hideMark/>
          </w:tcPr>
          <w:p w:rsidR="007667D5" w:rsidRPr="007667D5" w:rsidRDefault="007667D5" w:rsidP="007667D5">
            <w:pPr>
              <w:keepNext/>
              <w:tabs>
                <w:tab w:val="left" w:pos="708"/>
              </w:tabs>
              <w:contextualSpacing/>
              <w:outlineLvl w:val="2"/>
              <w:rPr>
                <w:bCs/>
                <w:color w:val="auto"/>
                <w:lang w:eastAsia="uk-UA"/>
              </w:rPr>
            </w:pPr>
            <w:r w:rsidRPr="007667D5">
              <w:rPr>
                <w:bCs/>
                <w:color w:val="auto"/>
                <w:lang w:eastAsia="uk-UA"/>
              </w:rPr>
              <w:t>Буряк</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7667D5" w:rsidRPr="007667D5" w:rsidRDefault="007667D5" w:rsidP="007667D5">
            <w:pPr>
              <w:contextualSpacing/>
              <w:jc w:val="center"/>
              <w:rPr>
                <w:rFonts w:eastAsia="Calibri"/>
                <w:color w:val="auto"/>
                <w:lang w:eastAsia="en-US"/>
              </w:rPr>
            </w:pPr>
            <w:r w:rsidRPr="007667D5">
              <w:rPr>
                <w:rFonts w:eastAsia="Calibri"/>
                <w:color w:val="auto"/>
                <w:lang w:eastAsia="en-US"/>
              </w:rPr>
              <w:t>кг</w:t>
            </w:r>
          </w:p>
        </w:tc>
        <w:tc>
          <w:tcPr>
            <w:tcW w:w="1221" w:type="dxa"/>
            <w:tcBorders>
              <w:top w:val="single" w:sz="6" w:space="0" w:color="auto"/>
              <w:left w:val="single" w:sz="6" w:space="0" w:color="auto"/>
              <w:bottom w:val="single" w:sz="6" w:space="0" w:color="auto"/>
              <w:right w:val="single" w:sz="4" w:space="0" w:color="auto"/>
            </w:tcBorders>
            <w:vAlign w:val="bottom"/>
            <w:hideMark/>
          </w:tcPr>
          <w:p w:rsidR="007667D5" w:rsidRPr="00F771CB" w:rsidRDefault="00F771CB" w:rsidP="007667D5">
            <w:pPr>
              <w:contextualSpacing/>
              <w:jc w:val="center"/>
              <w:rPr>
                <w:rFonts w:eastAsia="Calibri"/>
                <w:color w:val="auto"/>
                <w:lang w:eastAsia="en-US"/>
              </w:rPr>
            </w:pPr>
            <w:r w:rsidRPr="00F771CB">
              <w:rPr>
                <w:rFonts w:eastAsia="Calibri"/>
                <w:color w:val="auto"/>
                <w:lang w:eastAsia="en-US"/>
              </w:rPr>
              <w:t>450</w:t>
            </w:r>
            <w:r w:rsidR="007667D5" w:rsidRPr="00F771CB">
              <w:rPr>
                <w:rFonts w:eastAsia="Calibri"/>
                <w:color w:val="auto"/>
                <w:lang w:eastAsia="en-US"/>
              </w:rPr>
              <w:t>,00</w:t>
            </w:r>
          </w:p>
        </w:tc>
      </w:tr>
      <w:tr w:rsidR="007667D5" w:rsidRPr="007667D5" w:rsidTr="00183409">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numPr>
                <w:ilvl w:val="0"/>
                <w:numId w:val="5"/>
              </w:numPr>
              <w:spacing w:after="200" w:line="276" w:lineRule="auto"/>
              <w:ind w:hanging="357"/>
              <w:contextualSpacing/>
              <w:jc w:val="center"/>
              <w:rPr>
                <w:b/>
                <w:bCs/>
                <w:color w:val="auto"/>
                <w:lang w:eastAsia="en-US"/>
              </w:rPr>
            </w:pPr>
          </w:p>
        </w:tc>
        <w:tc>
          <w:tcPr>
            <w:tcW w:w="722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67D5" w:rsidRPr="007667D5" w:rsidRDefault="007667D5" w:rsidP="007667D5">
            <w:pPr>
              <w:keepNext/>
              <w:tabs>
                <w:tab w:val="left" w:pos="708"/>
              </w:tabs>
              <w:contextualSpacing/>
              <w:outlineLvl w:val="2"/>
              <w:rPr>
                <w:bCs/>
                <w:color w:val="auto"/>
                <w:lang w:eastAsia="uk-UA"/>
              </w:rPr>
            </w:pPr>
            <w:r w:rsidRPr="007667D5">
              <w:rPr>
                <w:bCs/>
                <w:color w:val="auto"/>
                <w:lang w:eastAsia="uk-UA"/>
              </w:rPr>
              <w:t>Капуста</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contextualSpacing/>
              <w:jc w:val="center"/>
              <w:rPr>
                <w:rFonts w:eastAsia="Calibri"/>
                <w:color w:val="auto"/>
                <w:lang w:eastAsia="en-US"/>
              </w:rPr>
            </w:pPr>
            <w:r w:rsidRPr="007667D5">
              <w:rPr>
                <w:rFonts w:eastAsia="Calibri"/>
                <w:color w:val="auto"/>
                <w:lang w:eastAsia="en-US"/>
              </w:rPr>
              <w:t>кг</w:t>
            </w:r>
          </w:p>
        </w:tc>
        <w:tc>
          <w:tcPr>
            <w:tcW w:w="1221" w:type="dxa"/>
            <w:tcBorders>
              <w:top w:val="single" w:sz="6" w:space="0" w:color="auto"/>
              <w:left w:val="single" w:sz="6" w:space="0" w:color="auto"/>
              <w:bottom w:val="single" w:sz="6" w:space="0" w:color="auto"/>
              <w:right w:val="single" w:sz="4" w:space="0" w:color="auto"/>
            </w:tcBorders>
            <w:vAlign w:val="bottom"/>
          </w:tcPr>
          <w:p w:rsidR="007667D5" w:rsidRPr="00F771CB" w:rsidRDefault="003A7170" w:rsidP="00F771CB">
            <w:pPr>
              <w:contextualSpacing/>
              <w:jc w:val="center"/>
              <w:rPr>
                <w:rFonts w:eastAsia="Calibri"/>
                <w:color w:val="auto"/>
                <w:lang w:eastAsia="en-US"/>
              </w:rPr>
            </w:pPr>
            <w:r w:rsidRPr="00F771CB">
              <w:rPr>
                <w:rFonts w:eastAsia="Calibri"/>
                <w:color w:val="auto"/>
                <w:lang w:eastAsia="en-US"/>
              </w:rPr>
              <w:t>45</w:t>
            </w:r>
            <w:r w:rsidR="00F771CB" w:rsidRPr="00F771CB">
              <w:rPr>
                <w:rFonts w:eastAsia="Calibri"/>
                <w:color w:val="auto"/>
                <w:lang w:eastAsia="en-US"/>
              </w:rPr>
              <w:t>0</w:t>
            </w:r>
            <w:r w:rsidR="007667D5" w:rsidRPr="00F771CB">
              <w:rPr>
                <w:rFonts w:eastAsia="Calibri"/>
                <w:color w:val="auto"/>
                <w:lang w:eastAsia="en-US"/>
              </w:rPr>
              <w:t>,00</w:t>
            </w:r>
          </w:p>
        </w:tc>
      </w:tr>
      <w:tr w:rsidR="007667D5" w:rsidRPr="007667D5" w:rsidTr="00183409">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numPr>
                <w:ilvl w:val="0"/>
                <w:numId w:val="5"/>
              </w:numPr>
              <w:spacing w:after="200" w:line="276" w:lineRule="auto"/>
              <w:ind w:hanging="357"/>
              <w:contextualSpacing/>
              <w:jc w:val="center"/>
              <w:rPr>
                <w:b/>
                <w:bCs/>
                <w:color w:val="auto"/>
                <w:lang w:eastAsia="en-US"/>
              </w:rPr>
            </w:pPr>
          </w:p>
        </w:tc>
        <w:tc>
          <w:tcPr>
            <w:tcW w:w="722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67D5" w:rsidRPr="007667D5" w:rsidRDefault="007667D5" w:rsidP="007667D5">
            <w:pPr>
              <w:keepNext/>
              <w:tabs>
                <w:tab w:val="left" w:pos="708"/>
              </w:tabs>
              <w:contextualSpacing/>
              <w:outlineLvl w:val="2"/>
              <w:rPr>
                <w:bCs/>
                <w:color w:val="auto"/>
                <w:lang w:eastAsia="uk-UA"/>
              </w:rPr>
            </w:pPr>
            <w:r w:rsidRPr="007667D5">
              <w:rPr>
                <w:bCs/>
                <w:color w:val="auto"/>
                <w:lang w:eastAsia="uk-UA"/>
              </w:rPr>
              <w:t>Морква</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contextualSpacing/>
              <w:jc w:val="center"/>
              <w:rPr>
                <w:rFonts w:eastAsia="Calibri"/>
                <w:color w:val="auto"/>
                <w:lang w:eastAsia="en-US"/>
              </w:rPr>
            </w:pPr>
            <w:r w:rsidRPr="007667D5">
              <w:rPr>
                <w:rFonts w:eastAsia="Calibri"/>
                <w:color w:val="auto"/>
                <w:lang w:eastAsia="en-US"/>
              </w:rPr>
              <w:t>кг</w:t>
            </w:r>
          </w:p>
        </w:tc>
        <w:tc>
          <w:tcPr>
            <w:tcW w:w="1221" w:type="dxa"/>
            <w:tcBorders>
              <w:top w:val="single" w:sz="6" w:space="0" w:color="auto"/>
              <w:left w:val="single" w:sz="6" w:space="0" w:color="auto"/>
              <w:bottom w:val="single" w:sz="6" w:space="0" w:color="auto"/>
              <w:right w:val="single" w:sz="4" w:space="0" w:color="auto"/>
            </w:tcBorders>
            <w:vAlign w:val="bottom"/>
          </w:tcPr>
          <w:p w:rsidR="007667D5" w:rsidRPr="00F771CB" w:rsidRDefault="00F771CB" w:rsidP="007667D5">
            <w:pPr>
              <w:contextualSpacing/>
              <w:jc w:val="center"/>
              <w:rPr>
                <w:rFonts w:eastAsia="Calibri"/>
                <w:color w:val="auto"/>
                <w:lang w:eastAsia="en-US"/>
              </w:rPr>
            </w:pPr>
            <w:r w:rsidRPr="00F771CB">
              <w:rPr>
                <w:rFonts w:eastAsia="Calibri"/>
                <w:color w:val="auto"/>
                <w:lang w:eastAsia="en-US"/>
              </w:rPr>
              <w:t>70</w:t>
            </w:r>
            <w:r w:rsidR="007667D5" w:rsidRPr="00F771CB">
              <w:rPr>
                <w:rFonts w:eastAsia="Calibri"/>
                <w:color w:val="auto"/>
                <w:lang w:eastAsia="en-US"/>
              </w:rPr>
              <w:t>,00</w:t>
            </w:r>
          </w:p>
        </w:tc>
      </w:tr>
    </w:tbl>
    <w:p w:rsidR="007667D5" w:rsidRDefault="000A445F" w:rsidP="007667D5">
      <w:pPr>
        <w:pStyle w:val="a3"/>
        <w:widowControl w:val="0"/>
        <w:spacing w:before="0" w:beforeAutospacing="0" w:after="0" w:afterAutospacing="0"/>
        <w:jc w:val="both"/>
        <w:rPr>
          <w:b/>
          <w:color w:val="auto"/>
          <w:sz w:val="22"/>
          <w:szCs w:val="22"/>
        </w:rPr>
      </w:pPr>
      <w:r>
        <w:rPr>
          <w:b/>
          <w:color w:val="auto"/>
          <w:sz w:val="22"/>
          <w:szCs w:val="22"/>
        </w:rPr>
        <w:t xml:space="preserve">                                                                                              </w:t>
      </w:r>
    </w:p>
    <w:p w:rsidR="007667D5" w:rsidRDefault="007667D5" w:rsidP="007667D5">
      <w:pPr>
        <w:pStyle w:val="a3"/>
        <w:widowControl w:val="0"/>
        <w:spacing w:before="0" w:beforeAutospacing="0" w:after="0" w:afterAutospacing="0"/>
        <w:jc w:val="both"/>
        <w:rPr>
          <w:b/>
          <w:color w:val="auto"/>
          <w:sz w:val="22"/>
          <w:szCs w:val="22"/>
        </w:rPr>
      </w:pPr>
    </w:p>
    <w:p w:rsidR="00C16B20" w:rsidRPr="003D259E" w:rsidRDefault="00C16B20" w:rsidP="007667D5">
      <w:pPr>
        <w:pStyle w:val="a3"/>
        <w:widowControl w:val="0"/>
        <w:spacing w:before="0" w:beforeAutospacing="0" w:after="0" w:afterAutospacing="0"/>
        <w:jc w:val="both"/>
        <w:rPr>
          <w:b/>
          <w:color w:val="auto"/>
          <w:sz w:val="22"/>
          <w:szCs w:val="22"/>
        </w:rPr>
      </w:pPr>
      <w:r w:rsidRPr="003D259E">
        <w:rPr>
          <w:b/>
          <w:color w:val="auto"/>
          <w:sz w:val="22"/>
          <w:szCs w:val="22"/>
        </w:rPr>
        <w:t>Таблиця 2</w:t>
      </w:r>
      <w:r w:rsidR="00752831">
        <w:rPr>
          <w:b/>
          <w:color w:val="auto"/>
          <w:sz w:val="22"/>
          <w:szCs w:val="22"/>
        </w:rPr>
        <w:t xml:space="preserve"> </w:t>
      </w:r>
      <w:r>
        <w:rPr>
          <w:b/>
          <w:color w:val="auto"/>
          <w:sz w:val="22"/>
          <w:szCs w:val="22"/>
        </w:rPr>
        <w:t>Т</w:t>
      </w:r>
      <w:r w:rsidRPr="003D259E">
        <w:rPr>
          <w:b/>
          <w:color w:val="auto"/>
          <w:sz w:val="22"/>
          <w:szCs w:val="22"/>
        </w:rPr>
        <w:t>ехнічні</w:t>
      </w:r>
      <w:r>
        <w:rPr>
          <w:b/>
          <w:color w:val="auto"/>
          <w:sz w:val="22"/>
          <w:szCs w:val="22"/>
        </w:rPr>
        <w:t xml:space="preserve"> </w:t>
      </w:r>
      <w:r w:rsidRPr="003D259E">
        <w:rPr>
          <w:b/>
          <w:color w:val="auto"/>
          <w:sz w:val="22"/>
          <w:szCs w:val="22"/>
        </w:rPr>
        <w:t>вимоги</w:t>
      </w:r>
      <w:r>
        <w:rPr>
          <w:b/>
          <w:color w:val="auto"/>
          <w:sz w:val="22"/>
          <w:szCs w:val="22"/>
        </w:rPr>
        <w:t xml:space="preserve"> </w:t>
      </w:r>
      <w:r w:rsidR="00E141C6" w:rsidRPr="003D259E">
        <w:rPr>
          <w:b/>
          <w:color w:val="auto"/>
          <w:sz w:val="22"/>
          <w:szCs w:val="22"/>
        </w:rPr>
        <w:t>до предмет</w:t>
      </w:r>
      <w:r w:rsidR="00E141C6">
        <w:rPr>
          <w:b/>
          <w:color w:val="auto"/>
          <w:sz w:val="22"/>
          <w:szCs w:val="22"/>
        </w:rPr>
        <w:t>у</w:t>
      </w:r>
      <w:r w:rsidRPr="003D259E">
        <w:rPr>
          <w:b/>
          <w:color w:val="auto"/>
          <w:sz w:val="22"/>
          <w:szCs w:val="22"/>
        </w:rPr>
        <w:t xml:space="preserve">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4"/>
        <w:gridCol w:w="1884"/>
        <w:gridCol w:w="6254"/>
        <w:gridCol w:w="1475"/>
      </w:tblGrid>
      <w:tr w:rsidR="00C16B20" w:rsidRPr="003D259E" w:rsidTr="00CA31CE">
        <w:trPr>
          <w:trHeight w:val="284"/>
        </w:trPr>
        <w:tc>
          <w:tcPr>
            <w:tcW w:w="5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 xml:space="preserve">№ </w:t>
            </w:r>
          </w:p>
        </w:tc>
        <w:tc>
          <w:tcPr>
            <w:tcW w:w="1884"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Найменування</w:t>
            </w:r>
          </w:p>
        </w:tc>
        <w:tc>
          <w:tcPr>
            <w:tcW w:w="6254"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Вимоги</w:t>
            </w:r>
          </w:p>
        </w:tc>
        <w:tc>
          <w:tcPr>
            <w:tcW w:w="1475" w:type="dxa"/>
            <w:tcBorders>
              <w:top w:val="single" w:sz="8" w:space="0" w:color="auto"/>
              <w:left w:val="single" w:sz="6" w:space="0" w:color="auto"/>
              <w:bottom w:val="single" w:sz="6" w:space="0" w:color="auto"/>
              <w:right w:val="single" w:sz="8" w:space="0" w:color="auto"/>
            </w:tcBorders>
            <w:hideMark/>
          </w:tcPr>
          <w:p w:rsidR="00C16B20" w:rsidRPr="003D259E" w:rsidRDefault="000A445F" w:rsidP="00CA31CE">
            <w:pPr>
              <w:ind w:firstLine="5"/>
              <w:jc w:val="center"/>
              <w:rPr>
                <w:b/>
                <w:bCs/>
                <w:color w:val="auto"/>
                <w:sz w:val="20"/>
                <w:szCs w:val="20"/>
              </w:rPr>
            </w:pPr>
            <w:r w:rsidRPr="000A445F">
              <w:rPr>
                <w:b/>
                <w:color w:val="auto"/>
                <w:sz w:val="20"/>
                <w:szCs w:val="20"/>
              </w:rPr>
              <w:t>Зазначити відповідність (так/ні) з посиланням на сторінку (пункту) відповідного документу</w:t>
            </w:r>
          </w:p>
        </w:tc>
      </w:tr>
      <w:tr w:rsidR="00C16B20" w:rsidRPr="003D259E" w:rsidTr="00CA31CE">
        <w:trPr>
          <w:trHeight w:val="284"/>
        </w:trPr>
        <w:tc>
          <w:tcPr>
            <w:tcW w:w="10147" w:type="dxa"/>
            <w:gridSpan w:val="4"/>
            <w:tcBorders>
              <w:top w:val="single" w:sz="8" w:space="0" w:color="auto"/>
              <w:left w:val="single" w:sz="8" w:space="0" w:color="auto"/>
              <w:bottom w:val="single" w:sz="6" w:space="0" w:color="auto"/>
              <w:right w:val="single" w:sz="8" w:space="0" w:color="auto"/>
            </w:tcBorders>
            <w:tcMar>
              <w:top w:w="0" w:type="dxa"/>
              <w:left w:w="57" w:type="dxa"/>
              <w:bottom w:w="0" w:type="dxa"/>
              <w:right w:w="57" w:type="dxa"/>
            </w:tcMar>
            <w:vAlign w:val="center"/>
          </w:tcPr>
          <w:p w:rsidR="00C16B20" w:rsidRPr="003D259E" w:rsidRDefault="00C16B20" w:rsidP="00CA31CE">
            <w:pPr>
              <w:ind w:firstLine="5"/>
              <w:jc w:val="center"/>
              <w:rPr>
                <w:b/>
                <w:bCs/>
                <w:color w:val="auto"/>
              </w:rPr>
            </w:pPr>
          </w:p>
        </w:tc>
      </w:tr>
      <w:tr w:rsidR="007667D5"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jc w:val="right"/>
              <w:rPr>
                <w:b/>
                <w:bCs/>
                <w:color w:val="auto"/>
              </w:rPr>
            </w:pPr>
            <w:r w:rsidRPr="007667D5">
              <w:rPr>
                <w:b/>
                <w:bCs/>
                <w:color w:val="auto"/>
              </w:rPr>
              <w:t>1.</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67D5" w:rsidRPr="00DF48D5" w:rsidRDefault="007667D5" w:rsidP="007667D5">
            <w:pPr>
              <w:pStyle w:val="3"/>
              <w:numPr>
                <w:ilvl w:val="0"/>
                <w:numId w:val="0"/>
              </w:numPr>
              <w:tabs>
                <w:tab w:val="left" w:pos="708"/>
              </w:tabs>
              <w:spacing w:before="0" w:after="0"/>
              <w:ind w:left="720"/>
              <w:contextualSpacing/>
              <w:rPr>
                <w:rFonts w:ascii="Times New Roman" w:hAnsi="Times New Roman" w:cs="Times New Roman"/>
                <w:sz w:val="24"/>
                <w:szCs w:val="24"/>
              </w:rPr>
            </w:pPr>
            <w:r>
              <w:rPr>
                <w:rFonts w:ascii="Times New Roman" w:hAnsi="Times New Roman" w:cs="Times New Roman"/>
                <w:sz w:val="24"/>
                <w:szCs w:val="24"/>
              </w:rPr>
              <w:t>Буряк</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67D5" w:rsidRDefault="007667D5" w:rsidP="007667D5">
            <w:pPr>
              <w:ind w:firstLine="5"/>
              <w:contextualSpacing/>
              <w:rPr>
                <w:b/>
                <w:bCs/>
              </w:rPr>
            </w:pPr>
            <w:r w:rsidRPr="006B23F1">
              <w:rPr>
                <w:b/>
                <w:bCs/>
              </w:rPr>
              <w:t xml:space="preserve">Буряк відповідно до ДСТУ 7033:2009 </w:t>
            </w:r>
          </w:p>
          <w:p w:rsidR="00FF16E5" w:rsidRDefault="007667D5" w:rsidP="007667D5">
            <w:pPr>
              <w:ind w:firstLine="5"/>
              <w:contextualSpacing/>
            </w:pPr>
            <w:r w:rsidRPr="006B23F1">
              <w:rPr>
                <w:b/>
                <w:bCs/>
              </w:rPr>
              <w:t>«Буряк столовий свіжий. Технічні умови»</w:t>
            </w:r>
            <w:r w:rsidRPr="00DF48D5">
              <w:rPr>
                <w:b/>
                <w:bCs/>
              </w:rPr>
              <w:t>:</w:t>
            </w:r>
            <w:r w:rsidRPr="006672CE">
              <w:t xml:space="preserve"> </w:t>
            </w:r>
          </w:p>
          <w:p w:rsidR="007667D5" w:rsidRPr="006672CE" w:rsidRDefault="007667D5" w:rsidP="007667D5">
            <w:pPr>
              <w:ind w:firstLine="5"/>
              <w:contextualSpacing/>
              <w:rPr>
                <w:bCs/>
              </w:rPr>
            </w:pPr>
            <w:r w:rsidRPr="006672CE">
              <w:rPr>
                <w:bCs/>
              </w:rPr>
              <w:t>Цей стандарт поширюється на коренеплоди буряка столового свіжого (Beta vulgaris L., var.conditiva Aleb, consar escubenfa Salisb), який заготовляють, постачають і реалізують у свіжому вигляді для споживання та для промислового переробляння</w:t>
            </w:r>
          </w:p>
          <w:p w:rsidR="007667D5" w:rsidRPr="006672CE" w:rsidRDefault="007667D5" w:rsidP="007667D5">
            <w:pPr>
              <w:ind w:firstLine="5"/>
              <w:contextualSpacing/>
              <w:rPr>
                <w:bCs/>
              </w:rPr>
            </w:pPr>
            <w:r w:rsidRPr="00DF48D5">
              <w:rPr>
                <w:b/>
                <w:bCs/>
                <w:i/>
                <w:u w:val="single"/>
              </w:rPr>
              <w:t xml:space="preserve">Вигляд </w:t>
            </w:r>
            <w:r w:rsidRPr="006672CE">
              <w:rPr>
                <w:bCs/>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коренеплода.</w:t>
            </w:r>
            <w:r>
              <w:rPr>
                <w:bCs/>
              </w:rPr>
              <w:t xml:space="preserve"> </w:t>
            </w:r>
            <w:r w:rsidRPr="006672CE">
              <w:rPr>
                <w:bCs/>
              </w:rPr>
              <w:t>Допустимі коренеплоди з надламаними корінцями</w:t>
            </w:r>
            <w:r>
              <w:rPr>
                <w:bCs/>
              </w:rPr>
              <w:t>.</w:t>
            </w:r>
          </w:p>
          <w:p w:rsidR="007667D5" w:rsidRPr="00DF48D5" w:rsidRDefault="007667D5" w:rsidP="007667D5">
            <w:pPr>
              <w:ind w:firstLine="5"/>
              <w:contextualSpacing/>
              <w:rPr>
                <w:bCs/>
              </w:rPr>
            </w:pPr>
            <w:r>
              <w:rPr>
                <w:b/>
                <w:bCs/>
                <w:i/>
                <w:u w:val="single"/>
              </w:rPr>
              <w:t>Внутрішня будова</w:t>
            </w:r>
            <w:r w:rsidRPr="00DF48D5">
              <w:rPr>
                <w:b/>
                <w:bCs/>
                <w:i/>
                <w:u w:val="single"/>
              </w:rPr>
              <w:t xml:space="preserve">: </w:t>
            </w:r>
            <w:r w:rsidRPr="006672CE">
              <w:rPr>
                <w:bCs/>
              </w:rPr>
              <w:t>М’якуш соковитий, темно-червоний різних відтінків залежно від</w:t>
            </w:r>
            <w:r>
              <w:rPr>
                <w:bCs/>
              </w:rPr>
              <w:t xml:space="preserve"> </w:t>
            </w:r>
            <w:r w:rsidRPr="006672CE">
              <w:rPr>
                <w:bCs/>
              </w:rPr>
              <w:t>особливостей ботанічного сорту. Допустимі коренеплоди з вузькими рожевими кільцями не більше ніж 10 %, для промислового</w:t>
            </w:r>
            <w:r>
              <w:rPr>
                <w:bCs/>
              </w:rPr>
              <w:t xml:space="preserve"> </w:t>
            </w:r>
            <w:r w:rsidRPr="006672CE">
              <w:rPr>
                <w:bCs/>
              </w:rPr>
              <w:t>переробляння не більше ніж 3 % відносно маси</w:t>
            </w:r>
            <w:r w:rsidRPr="00DF48D5">
              <w:rPr>
                <w:bCs/>
              </w:rPr>
              <w:t xml:space="preserve">. </w:t>
            </w:r>
          </w:p>
          <w:p w:rsidR="007667D5" w:rsidRPr="00DF48D5" w:rsidRDefault="007667D5" w:rsidP="007667D5">
            <w:pPr>
              <w:ind w:firstLine="5"/>
              <w:contextualSpacing/>
              <w:rPr>
                <w:bCs/>
              </w:rPr>
            </w:pPr>
            <w:r>
              <w:rPr>
                <w:b/>
                <w:bCs/>
                <w:i/>
                <w:u w:val="single"/>
              </w:rPr>
              <w:t>Смак і запах</w:t>
            </w:r>
            <w:r w:rsidRPr="00DF48D5">
              <w:rPr>
                <w:b/>
                <w:bCs/>
                <w:i/>
                <w:u w:val="single"/>
              </w:rPr>
              <w:t xml:space="preserve">: </w:t>
            </w:r>
            <w:r w:rsidRPr="006672CE">
              <w:rPr>
                <w:bCs/>
              </w:rPr>
              <w:t>Властиві даному ботанічному сорту, без стороннього запаху і</w:t>
            </w:r>
            <w:r>
              <w:rPr>
                <w:bCs/>
              </w:rPr>
              <w:t xml:space="preserve"> </w:t>
            </w:r>
            <w:r w:rsidRPr="006672CE">
              <w:rPr>
                <w:bCs/>
              </w:rPr>
              <w:t>присмаку</w:t>
            </w:r>
            <w:r w:rsidRPr="00DF48D5">
              <w:rPr>
                <w:bCs/>
              </w:rPr>
              <w:t>.</w:t>
            </w:r>
          </w:p>
          <w:p w:rsidR="007667D5" w:rsidRDefault="007667D5" w:rsidP="007667D5">
            <w:pPr>
              <w:ind w:firstLine="5"/>
              <w:contextualSpacing/>
              <w:rPr>
                <w:b/>
                <w:bCs/>
                <w:i/>
                <w:u w:val="single"/>
              </w:rPr>
            </w:pPr>
            <w:r w:rsidRPr="00FD3267">
              <w:rPr>
                <w:b/>
                <w:bCs/>
                <w:i/>
                <w:u w:val="single"/>
              </w:rPr>
              <w:t>Розмір коренеплоду за найбільшим поперечним діаметром, см</w:t>
            </w:r>
            <w:r w:rsidRPr="00DF48D5">
              <w:rPr>
                <w:b/>
                <w:bCs/>
                <w:i/>
                <w:u w:val="single"/>
              </w:rPr>
              <w:t xml:space="preserve">: </w:t>
            </w:r>
          </w:p>
          <w:p w:rsidR="007667D5" w:rsidRPr="00DF48D5" w:rsidRDefault="007667D5" w:rsidP="007667D5">
            <w:pPr>
              <w:ind w:firstLine="5"/>
              <w:contextualSpacing/>
              <w:rPr>
                <w:bCs/>
              </w:rPr>
            </w:pPr>
            <w:r w:rsidRPr="00FD3267">
              <w:rPr>
                <w:bCs/>
              </w:rPr>
              <w:t>5,0 — 14,0</w:t>
            </w:r>
            <w:r>
              <w:rPr>
                <w:bCs/>
              </w:rPr>
              <w:t>.</w:t>
            </w:r>
          </w:p>
          <w:p w:rsidR="007667D5" w:rsidRPr="00DF48D5" w:rsidRDefault="007667D5" w:rsidP="007667D5">
            <w:pPr>
              <w:ind w:firstLine="5"/>
              <w:contextualSpacing/>
              <w:rPr>
                <w:bCs/>
              </w:rPr>
            </w:pPr>
            <w:r w:rsidRPr="00FD3267">
              <w:rPr>
                <w:b/>
                <w:bCs/>
                <w:i/>
                <w:u w:val="single"/>
              </w:rPr>
              <w:t>Розмір коренеплоду за довжиною, для</w:t>
            </w:r>
            <w:r>
              <w:rPr>
                <w:b/>
                <w:bCs/>
                <w:i/>
                <w:u w:val="single"/>
              </w:rPr>
              <w:t xml:space="preserve"> </w:t>
            </w:r>
            <w:r w:rsidRPr="00FD3267">
              <w:rPr>
                <w:b/>
                <w:bCs/>
                <w:i/>
                <w:u w:val="single"/>
              </w:rPr>
              <w:t>видовжених форм, см</w:t>
            </w:r>
            <w:r>
              <w:rPr>
                <w:b/>
                <w:bCs/>
                <w:i/>
                <w:u w:val="single"/>
              </w:rPr>
              <w:t>:</w:t>
            </w:r>
            <w:r w:rsidRPr="00FD3267">
              <w:rPr>
                <w:b/>
                <w:bCs/>
                <w:i/>
                <w:u w:val="single"/>
              </w:rPr>
              <w:cr/>
            </w:r>
            <w:r>
              <w:t xml:space="preserve"> </w:t>
            </w:r>
            <w:r w:rsidRPr="00FD3267">
              <w:rPr>
                <w:bCs/>
              </w:rPr>
              <w:t>Без обмежень</w:t>
            </w:r>
            <w:r w:rsidRPr="00DF48D5">
              <w:rPr>
                <w:bCs/>
              </w:rPr>
              <w:t>.</w:t>
            </w:r>
          </w:p>
          <w:p w:rsidR="007667D5" w:rsidRDefault="007667D5" w:rsidP="007667D5">
            <w:pPr>
              <w:ind w:firstLine="5"/>
              <w:contextualSpacing/>
              <w:rPr>
                <w:b/>
                <w:bCs/>
                <w:i/>
                <w:u w:val="single"/>
              </w:rPr>
            </w:pPr>
            <w:r w:rsidRPr="00B2349D">
              <w:rPr>
                <w:b/>
                <w:bCs/>
                <w:i/>
                <w:u w:val="single"/>
              </w:rPr>
              <w:lastRenderedPageBreak/>
              <w:t>Наявність землі на коренеплодах, %, відносно маси, не більше ніж</w:t>
            </w:r>
            <w:r w:rsidRPr="00DF48D5">
              <w:rPr>
                <w:b/>
                <w:bCs/>
                <w:i/>
                <w:u w:val="single"/>
              </w:rPr>
              <w:t xml:space="preserve">: </w:t>
            </w:r>
          </w:p>
          <w:p w:rsidR="007667D5" w:rsidRPr="00DF48D5" w:rsidRDefault="007667D5" w:rsidP="007667D5">
            <w:pPr>
              <w:ind w:firstLine="5"/>
              <w:contextualSpacing/>
              <w:rPr>
                <w:bCs/>
              </w:rPr>
            </w:pPr>
            <w:r w:rsidRPr="00B2349D">
              <w:rPr>
                <w:bCs/>
              </w:rPr>
              <w:t>1,0</w:t>
            </w:r>
            <w:r w:rsidRPr="00DF48D5">
              <w:rPr>
                <w:bCs/>
              </w:rPr>
              <w:t>.</w:t>
            </w:r>
          </w:p>
          <w:p w:rsidR="007667D5" w:rsidRDefault="007667D5" w:rsidP="007667D5">
            <w:pPr>
              <w:ind w:firstLine="5"/>
              <w:contextualSpacing/>
              <w:rPr>
                <w:bCs/>
              </w:rPr>
            </w:pPr>
            <w:r w:rsidRPr="00B2349D">
              <w:rPr>
                <w:b/>
                <w:bCs/>
                <w:i/>
                <w:u w:val="single"/>
              </w:rPr>
              <w:t>Примітка.</w:t>
            </w:r>
            <w:r w:rsidRPr="00DF48D5">
              <w:rPr>
                <w:bCs/>
              </w:rPr>
              <w:t xml:space="preserve"> </w:t>
            </w:r>
            <w:r w:rsidRPr="00B2349D">
              <w:rPr>
                <w:bCs/>
              </w:rPr>
              <w:t>Надмірна зовнішня вологість наявність на коренеплодах вологи від дощу, роси або поливу. Конденсат на коренеплодах, спричинений різницею температур, не вважають за надмірну зовнішню вологість.</w:t>
            </w:r>
          </w:p>
          <w:p w:rsidR="007667D5" w:rsidRDefault="007667D5" w:rsidP="007667D5">
            <w:pPr>
              <w:ind w:firstLine="5"/>
              <w:contextualSpacing/>
              <w:rPr>
                <w:bCs/>
              </w:rPr>
            </w:pPr>
            <w:r>
              <w:rPr>
                <w:b/>
                <w:bCs/>
                <w:i/>
                <w:u w:val="single"/>
              </w:rPr>
              <w:t>Паковання</w:t>
            </w:r>
            <w:r w:rsidRPr="00DF48D5">
              <w:rPr>
                <w:b/>
                <w:bCs/>
                <w:i/>
                <w:u w:val="single"/>
              </w:rPr>
              <w:t>:</w:t>
            </w:r>
            <w:r w:rsidRPr="00DF48D5">
              <w:rPr>
                <w:bCs/>
              </w:rPr>
              <w:t xml:space="preserve"> </w:t>
            </w:r>
            <w:r w:rsidRPr="00BA22BA">
              <w:rPr>
                <w:bCs/>
              </w:rPr>
              <w:t>Буряк столовий свіжий, підготовлений до пакування, не повинен бути вологим.</w:t>
            </w:r>
            <w:r>
              <w:rPr>
                <w:bCs/>
              </w:rPr>
              <w:t xml:space="preserve"> </w:t>
            </w:r>
            <w:r w:rsidRPr="00BA22BA">
              <w:rPr>
                <w:bCs/>
              </w:rPr>
              <w:t>Коренеплоди розсортовують на товарні сорти та пакують так, щоб забезпечити їх належне зберігання. Буряк столовий свіжий пакують у спожиткову тару:</w:t>
            </w:r>
          </w:p>
          <w:p w:rsidR="007667D5" w:rsidRPr="00BA22BA" w:rsidRDefault="007667D5" w:rsidP="007667D5">
            <w:pPr>
              <w:ind w:firstLine="5"/>
              <w:contextualSpacing/>
              <w:rPr>
                <w:bCs/>
              </w:rPr>
            </w:pPr>
            <w:r w:rsidRPr="00BA22BA">
              <w:rPr>
                <w:bCs/>
              </w:rPr>
              <w:t>— пакети з поліетиленової плівки, згідно ГОСТ 10354, або іншої прозорої плівки, дозволеної</w:t>
            </w:r>
          </w:p>
          <w:p w:rsidR="007667D5" w:rsidRPr="00BA22BA" w:rsidRDefault="007667D5" w:rsidP="007667D5">
            <w:pPr>
              <w:ind w:firstLine="5"/>
              <w:contextualSpacing/>
              <w:rPr>
                <w:bCs/>
              </w:rPr>
            </w:pPr>
            <w:r w:rsidRPr="00BA22BA">
              <w:rPr>
                <w:bCs/>
              </w:rPr>
              <w:t>центральними органами виконавчої влади у сфері охорони здоров’я для пакування харчових продуктів, масою нетто не більше ніж 2 кг;</w:t>
            </w:r>
          </w:p>
          <w:p w:rsidR="007667D5" w:rsidRPr="00BA22BA" w:rsidRDefault="007667D5" w:rsidP="007667D5">
            <w:pPr>
              <w:ind w:firstLine="5"/>
              <w:contextualSpacing/>
              <w:rPr>
                <w:bCs/>
              </w:rPr>
            </w:pPr>
            <w:r w:rsidRPr="00BA22BA">
              <w:rPr>
                <w:bCs/>
              </w:rPr>
              <w:t>— мішки сітчасті або полімерні завтовшки від 40 мк до 60 мк, згідно з чинною нормативною</w:t>
            </w:r>
            <w:r>
              <w:rPr>
                <w:bCs/>
              </w:rPr>
              <w:t xml:space="preserve"> </w:t>
            </w:r>
            <w:r w:rsidRPr="00BA22BA">
              <w:rPr>
                <w:bCs/>
              </w:rPr>
              <w:t>документацією, або іноземного виробництва, дозволені центральними органами виконавчої влади у сфері охорони здоров’я для пакування харчових продуктів, масою нетто до 10 кг.</w:t>
            </w:r>
          </w:p>
          <w:p w:rsidR="007667D5" w:rsidRPr="00BA22BA" w:rsidRDefault="007667D5" w:rsidP="007667D5">
            <w:pPr>
              <w:ind w:firstLine="5"/>
              <w:contextualSpacing/>
              <w:rPr>
                <w:bCs/>
              </w:rPr>
            </w:pPr>
            <w:r w:rsidRPr="00BA22BA">
              <w:rPr>
                <w:bCs/>
              </w:rPr>
              <w:t xml:space="preserve"> Буряк столовий, розфасований у пакети, мішки та сітки, потрібно упаковувати у транспортну тару  в ящики, згідно з ГОСТ 13359, ГОСТ 17812, лотки із полістиролу, тару універсальну із термопластів, іншу виготовлену за нормативно-технічною документацією, які забезпечують</w:t>
            </w:r>
            <w:r>
              <w:rPr>
                <w:bCs/>
              </w:rPr>
              <w:t xml:space="preserve"> </w:t>
            </w:r>
            <w:r w:rsidRPr="00BA22BA">
              <w:rPr>
                <w:bCs/>
              </w:rPr>
              <w:t>збереження під час транспортування і зберігання. Допустиме пакування буряка довільною масою</w:t>
            </w:r>
            <w:r>
              <w:rPr>
                <w:bCs/>
              </w:rPr>
              <w:t xml:space="preserve"> </w:t>
            </w:r>
            <w:r w:rsidRPr="00BA22BA">
              <w:rPr>
                <w:bCs/>
              </w:rPr>
              <w:t>нетто.</w:t>
            </w:r>
          </w:p>
          <w:p w:rsidR="007667D5" w:rsidRPr="00DF48D5" w:rsidRDefault="007667D5" w:rsidP="007667D5">
            <w:pPr>
              <w:ind w:firstLine="5"/>
              <w:contextualSpacing/>
              <w:rPr>
                <w:bCs/>
              </w:rPr>
            </w:pPr>
            <w:r w:rsidRPr="00BA22BA">
              <w:rPr>
                <w:bCs/>
              </w:rPr>
              <w:t xml:space="preserve"> Нерозфасований буряк столовий пакують: в ящики, згідно з ГОСТ 17812, ГОСТ 20463, масою нетто не більше ніж 20 кг; тканинні мішки, згідно з ГОСТ 18225 та ГОСТ 19317 — не більше</w:t>
            </w:r>
            <w:r>
              <w:rPr>
                <w:bCs/>
              </w:rPr>
              <w:t xml:space="preserve"> </w:t>
            </w:r>
            <w:r w:rsidRPr="00BA22BA">
              <w:rPr>
                <w:bCs/>
              </w:rPr>
              <w:t>ніж 30 кг, сітчасті мішки від 10 кг до 15 кг, полімерні мішки завтовшки від 100 мк до 200 мк — від</w:t>
            </w:r>
            <w:r>
              <w:rPr>
                <w:bCs/>
              </w:rPr>
              <w:t xml:space="preserve"> </w:t>
            </w:r>
            <w:r w:rsidRPr="00BA22BA">
              <w:rPr>
                <w:bCs/>
              </w:rPr>
              <w:t>20 кг до 25 кг; пластикові чи картонні ящики з отворами — за чинною нормативною документацією</w:t>
            </w:r>
            <w:r>
              <w:rPr>
                <w:bCs/>
              </w:rPr>
              <w:t xml:space="preserve"> </w:t>
            </w:r>
            <w:r w:rsidRPr="00BA22BA">
              <w:rPr>
                <w:bCs/>
              </w:rPr>
              <w:t>або іноземного виробництва, дозволені центральними органами виконавчої влади у сфері охорони</w:t>
            </w:r>
            <w:r>
              <w:rPr>
                <w:bCs/>
              </w:rPr>
              <w:t xml:space="preserve"> </w:t>
            </w:r>
            <w:r w:rsidRPr="00BA22BA">
              <w:rPr>
                <w:bCs/>
              </w:rPr>
              <w:t>здоров’я для пакування харчових</w:t>
            </w:r>
            <w:r>
              <w:rPr>
                <w:bCs/>
              </w:rPr>
              <w:t xml:space="preserve"> продуктів масою нетто до 20 кг</w:t>
            </w:r>
            <w:r w:rsidRPr="00BA22BA">
              <w:rPr>
                <w:bCs/>
              </w:rPr>
              <w:t>.</w:t>
            </w:r>
            <w:r>
              <w:rPr>
                <w:bCs/>
              </w:rPr>
              <w:t xml:space="preserve"> </w:t>
            </w:r>
            <w:r w:rsidRPr="00BA22BA">
              <w:rPr>
                <w:bCs/>
              </w:rPr>
              <w:t>Мішки сітчасті або поліетиленові не повинні наносити пошкодження коренеплодам буряка</w:t>
            </w:r>
            <w:r>
              <w:rPr>
                <w:bCs/>
              </w:rPr>
              <w:t xml:space="preserve"> </w:t>
            </w:r>
            <w:r w:rsidRPr="00BA22BA">
              <w:rPr>
                <w:bCs/>
              </w:rPr>
              <w:t>столового</w:t>
            </w:r>
          </w:p>
          <w:p w:rsidR="007667D5" w:rsidRPr="00DF48D5" w:rsidRDefault="007667D5" w:rsidP="007667D5">
            <w:pPr>
              <w:ind w:firstLine="5"/>
              <w:contextualSpacing/>
              <w:rPr>
                <w:bCs/>
              </w:rPr>
            </w:pPr>
            <w:r w:rsidRPr="00DF48D5">
              <w:rPr>
                <w:b/>
                <w:bCs/>
                <w:i/>
                <w:u w:val="single"/>
              </w:rPr>
              <w:t xml:space="preserve">Термін придатності </w:t>
            </w:r>
            <w:r w:rsidRPr="00DF48D5">
              <w:rPr>
                <w:bCs/>
              </w:rPr>
              <w:t>від загального терміну зберігання, передбаченого виробником, на час поставки (не менше, ніж): не менше 80 %.</w:t>
            </w:r>
          </w:p>
          <w:p w:rsidR="007667D5" w:rsidRPr="00DF48D5" w:rsidRDefault="007667D5" w:rsidP="007667D5">
            <w:pPr>
              <w:ind w:firstLine="5"/>
              <w:contextualSpacing/>
              <w:rPr>
                <w:bCs/>
              </w:rPr>
            </w:pPr>
            <w:r w:rsidRPr="00DF48D5">
              <w:rPr>
                <w:bCs/>
              </w:rPr>
              <w:t xml:space="preserve"> </w:t>
            </w:r>
            <w:r w:rsidRPr="00DF48D5">
              <w:rPr>
                <w:b/>
                <w:bCs/>
                <w:i/>
                <w:u w:val="single"/>
              </w:rPr>
              <w:t>Товар повинен відповідати</w:t>
            </w:r>
            <w:r w:rsidRPr="00DF48D5">
              <w:rPr>
                <w:bCs/>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rsidR="007667D5" w:rsidRDefault="007667D5" w:rsidP="007667D5">
            <w:pPr>
              <w:ind w:firstLine="5"/>
              <w:contextualSpacing/>
              <w:rPr>
                <w:bCs/>
              </w:rPr>
            </w:pPr>
            <w:r w:rsidRPr="00DF48D5">
              <w:rPr>
                <w:b/>
                <w:bCs/>
                <w:i/>
                <w:u w:val="single"/>
              </w:rPr>
              <w:t>Продукція повинна транспортуватись</w:t>
            </w:r>
            <w:r>
              <w:rPr>
                <w:bCs/>
              </w:rPr>
              <w:t xml:space="preserve"> у спеціалізованому транспорті</w:t>
            </w:r>
            <w:r w:rsidRPr="00DF48D5">
              <w:rPr>
                <w:bCs/>
              </w:rPr>
              <w:t>.</w:t>
            </w:r>
          </w:p>
          <w:p w:rsidR="00FF16E5" w:rsidRPr="00DF48D5" w:rsidRDefault="00FF16E5" w:rsidP="007667D5">
            <w:pPr>
              <w:ind w:firstLine="5"/>
              <w:contextualSpacing/>
              <w:rPr>
                <w:bCs/>
              </w:rPr>
            </w:pPr>
          </w:p>
        </w:tc>
        <w:tc>
          <w:tcPr>
            <w:tcW w:w="1475" w:type="dxa"/>
            <w:tcBorders>
              <w:top w:val="single" w:sz="8" w:space="0" w:color="auto"/>
              <w:left w:val="single" w:sz="6" w:space="0" w:color="auto"/>
              <w:bottom w:val="single" w:sz="8" w:space="0" w:color="auto"/>
              <w:right w:val="single" w:sz="8" w:space="0" w:color="auto"/>
            </w:tcBorders>
          </w:tcPr>
          <w:p w:rsidR="007667D5" w:rsidRPr="003D259E" w:rsidRDefault="007667D5" w:rsidP="007667D5">
            <w:pPr>
              <w:ind w:firstLine="5"/>
              <w:jc w:val="center"/>
              <w:rPr>
                <w:bCs/>
                <w:color w:val="auto"/>
                <w:sz w:val="20"/>
                <w:szCs w:val="20"/>
              </w:rPr>
            </w:pPr>
          </w:p>
        </w:tc>
      </w:tr>
      <w:tr w:rsidR="007667D5"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Pr="007667D5" w:rsidRDefault="007667D5" w:rsidP="007667D5">
            <w:pPr>
              <w:jc w:val="right"/>
              <w:rPr>
                <w:b/>
                <w:bCs/>
                <w:color w:val="auto"/>
              </w:rPr>
            </w:pPr>
            <w:r w:rsidRPr="007667D5">
              <w:rPr>
                <w:b/>
                <w:bCs/>
                <w:color w:val="auto"/>
              </w:rPr>
              <w:lastRenderedPageBreak/>
              <w:t>2.</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67D5" w:rsidRDefault="007667D5" w:rsidP="007667D5">
            <w:pPr>
              <w:pStyle w:val="3"/>
              <w:numPr>
                <w:ilvl w:val="0"/>
                <w:numId w:val="0"/>
              </w:numPr>
              <w:tabs>
                <w:tab w:val="left" w:pos="708"/>
              </w:tabs>
              <w:spacing w:before="0" w:after="0"/>
              <w:ind w:left="720"/>
              <w:contextualSpacing/>
              <w:rPr>
                <w:rFonts w:ascii="Times New Roman" w:hAnsi="Times New Roman" w:cs="Times New Roman"/>
                <w:sz w:val="24"/>
                <w:szCs w:val="24"/>
              </w:rPr>
            </w:pPr>
            <w:r>
              <w:rPr>
                <w:rFonts w:ascii="Times New Roman" w:hAnsi="Times New Roman" w:cs="Times New Roman"/>
                <w:sz w:val="24"/>
                <w:szCs w:val="24"/>
              </w:rPr>
              <w:t>Капуста</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67D5" w:rsidRDefault="007667D5" w:rsidP="007667D5">
            <w:pPr>
              <w:ind w:firstLine="5"/>
              <w:contextualSpacing/>
              <w:rPr>
                <w:b/>
                <w:bCs/>
              </w:rPr>
            </w:pPr>
            <w:r w:rsidRPr="00EA47D5">
              <w:rPr>
                <w:b/>
                <w:bCs/>
              </w:rPr>
              <w:t xml:space="preserve">Капуста відповідно до ДСТУ 7037:2009 </w:t>
            </w:r>
          </w:p>
          <w:p w:rsidR="007667D5" w:rsidRDefault="007667D5" w:rsidP="007667D5">
            <w:pPr>
              <w:ind w:firstLine="5"/>
              <w:contextualSpacing/>
            </w:pPr>
            <w:r w:rsidRPr="00EA47D5">
              <w:rPr>
                <w:b/>
                <w:bCs/>
              </w:rPr>
              <w:t>«Капуста білоголова свіжа. Технічні умови»</w:t>
            </w:r>
            <w:r w:rsidRPr="00DF48D5">
              <w:rPr>
                <w:b/>
                <w:bCs/>
              </w:rPr>
              <w:t>:</w:t>
            </w:r>
            <w:r w:rsidRPr="006672CE">
              <w:t xml:space="preserve"> </w:t>
            </w:r>
          </w:p>
          <w:p w:rsidR="007667D5" w:rsidRPr="00166448" w:rsidRDefault="007667D5" w:rsidP="007667D5">
            <w:pPr>
              <w:numPr>
                <w:ilvl w:val="1"/>
                <w:numId w:val="11"/>
              </w:numPr>
              <w:contextualSpacing/>
              <w:rPr>
                <w:bCs/>
              </w:rPr>
            </w:pPr>
            <w:r w:rsidRPr="00166448">
              <w:rPr>
                <w:bCs/>
              </w:rPr>
              <w:t>Цей стандарт поширюється на капусту білоголову свіжу (Brassica capitata Lizg.), яку заготовляють, постачають і реалізують для споживання у свіжому вигляді та для промислового переробляння. Капусту білоголову свіжу, залежно від строків достигання, поділяють на ранньостиглу, середньостиглу, та пізньостиглу. Капусту білоголову свіжу, залежно від якості, поділяють на два товарних сорти: перший та другий (за винятком ранньостиглої).</w:t>
            </w:r>
          </w:p>
          <w:p w:rsidR="007667D5" w:rsidRDefault="007667D5" w:rsidP="007667D5">
            <w:pPr>
              <w:ind w:firstLine="5"/>
              <w:contextualSpacing/>
              <w:rPr>
                <w:b/>
                <w:bCs/>
                <w:i/>
                <w:u w:val="single"/>
              </w:rPr>
            </w:pPr>
            <w:r w:rsidRPr="00DF48D5">
              <w:rPr>
                <w:b/>
                <w:bCs/>
                <w:i/>
                <w:u w:val="single"/>
              </w:rPr>
              <w:t>Вигляд</w:t>
            </w:r>
            <w:r>
              <w:rPr>
                <w:b/>
                <w:bCs/>
                <w:i/>
                <w:u w:val="single"/>
              </w:rPr>
              <w:t>:</w:t>
            </w:r>
            <w:r w:rsidRPr="00DF48D5">
              <w:rPr>
                <w:b/>
                <w:bCs/>
                <w:i/>
                <w:u w:val="single"/>
              </w:rPr>
              <w:t xml:space="preserve"> </w:t>
            </w:r>
            <w:r w:rsidRPr="00166448">
              <w:rPr>
                <w:bCs/>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Pr>
                <w:bCs/>
              </w:rPr>
              <w:t>.</w:t>
            </w:r>
            <w:r w:rsidRPr="00166448">
              <w:rPr>
                <w:b/>
                <w:bCs/>
                <w:i/>
                <w:u w:val="single"/>
              </w:rPr>
              <w:t xml:space="preserve"> </w:t>
            </w:r>
          </w:p>
          <w:p w:rsidR="007667D5" w:rsidRDefault="007667D5" w:rsidP="007667D5">
            <w:pPr>
              <w:ind w:firstLine="5"/>
              <w:contextualSpacing/>
              <w:rPr>
                <w:b/>
                <w:bCs/>
                <w:i/>
                <w:u w:val="single"/>
              </w:rPr>
            </w:pPr>
            <w:r w:rsidRPr="00B933DD">
              <w:rPr>
                <w:b/>
                <w:bCs/>
                <w:i/>
                <w:u w:val="single"/>
              </w:rPr>
              <w:t>Щільність головки</w:t>
            </w:r>
            <w:r w:rsidRPr="00DF48D5">
              <w:rPr>
                <w:b/>
                <w:bCs/>
                <w:i/>
                <w:u w:val="single"/>
              </w:rPr>
              <w:t xml:space="preserve">: </w:t>
            </w:r>
            <w:r w:rsidRPr="00B933DD">
              <w:rPr>
                <w:bCs/>
              </w:rPr>
              <w:t>Щільні або менш щільні, але не розпушені</w:t>
            </w:r>
            <w:r>
              <w:rPr>
                <w:bCs/>
              </w:rPr>
              <w:t>.</w:t>
            </w:r>
            <w:r w:rsidRPr="00B933DD">
              <w:rPr>
                <w:b/>
                <w:bCs/>
                <w:i/>
                <w:u w:val="single"/>
              </w:rPr>
              <w:t xml:space="preserve"> </w:t>
            </w:r>
          </w:p>
          <w:p w:rsidR="007667D5" w:rsidRPr="00DF48D5" w:rsidRDefault="007667D5" w:rsidP="007667D5">
            <w:pPr>
              <w:ind w:firstLine="5"/>
              <w:contextualSpacing/>
              <w:rPr>
                <w:bCs/>
              </w:rPr>
            </w:pPr>
            <w:r>
              <w:rPr>
                <w:b/>
                <w:bCs/>
                <w:i/>
                <w:u w:val="single"/>
              </w:rPr>
              <w:t>Смак і запах</w:t>
            </w:r>
            <w:r w:rsidRPr="00DF48D5">
              <w:rPr>
                <w:b/>
                <w:bCs/>
                <w:i/>
                <w:u w:val="single"/>
              </w:rPr>
              <w:t xml:space="preserve">: </w:t>
            </w:r>
            <w:r w:rsidRPr="00B933DD">
              <w:rPr>
                <w:bCs/>
              </w:rPr>
              <w:t>Властиві даному ботанічному сорту, без стороннього запаху і присмаку</w:t>
            </w:r>
            <w:r w:rsidRPr="00DF48D5">
              <w:rPr>
                <w:bCs/>
              </w:rPr>
              <w:t>.</w:t>
            </w:r>
          </w:p>
          <w:p w:rsidR="007667D5" w:rsidRPr="00DF48D5" w:rsidRDefault="007667D5" w:rsidP="007667D5">
            <w:pPr>
              <w:ind w:firstLine="5"/>
              <w:contextualSpacing/>
              <w:rPr>
                <w:bCs/>
              </w:rPr>
            </w:pPr>
            <w:r w:rsidRPr="00B933DD">
              <w:rPr>
                <w:b/>
                <w:bCs/>
                <w:i/>
                <w:u w:val="single"/>
              </w:rPr>
              <w:t>Зачистка головки</w:t>
            </w:r>
            <w:r w:rsidRPr="00DF48D5">
              <w:rPr>
                <w:b/>
                <w:bCs/>
                <w:i/>
                <w:u w:val="single"/>
              </w:rPr>
              <w:t xml:space="preserve">: </w:t>
            </w:r>
            <w:r w:rsidRPr="00B933DD">
              <w:rPr>
                <w:bCs/>
              </w:rPr>
              <w:t>Головки повинні бути зачищені до щільно прилеглих зелених або білих листків</w:t>
            </w:r>
            <w:r>
              <w:rPr>
                <w:bCs/>
              </w:rPr>
              <w:t>.</w:t>
            </w:r>
          </w:p>
          <w:p w:rsidR="007667D5" w:rsidRPr="00DF48D5" w:rsidRDefault="007667D5" w:rsidP="007667D5">
            <w:pPr>
              <w:ind w:firstLine="5"/>
              <w:contextualSpacing/>
              <w:rPr>
                <w:bCs/>
              </w:rPr>
            </w:pPr>
            <w:r w:rsidRPr="00B933DD">
              <w:rPr>
                <w:b/>
                <w:bCs/>
                <w:i/>
                <w:u w:val="single"/>
              </w:rPr>
              <w:t>Довжина качана над головкою, см, не більше ніж</w:t>
            </w:r>
            <w:r>
              <w:rPr>
                <w:b/>
                <w:bCs/>
                <w:i/>
                <w:u w:val="single"/>
              </w:rPr>
              <w:t>:</w:t>
            </w:r>
            <w:r w:rsidRPr="00FD3267">
              <w:rPr>
                <w:b/>
                <w:bCs/>
                <w:i/>
                <w:u w:val="single"/>
              </w:rPr>
              <w:cr/>
            </w:r>
            <w:r>
              <w:t xml:space="preserve"> </w:t>
            </w:r>
            <w:r w:rsidRPr="00B933DD">
              <w:rPr>
                <w:bCs/>
              </w:rPr>
              <w:t>3,0</w:t>
            </w:r>
            <w:r w:rsidRPr="00DF48D5">
              <w:rPr>
                <w:bCs/>
              </w:rPr>
              <w:t>.</w:t>
            </w:r>
          </w:p>
          <w:p w:rsidR="007667D5" w:rsidRDefault="007667D5" w:rsidP="007667D5">
            <w:pPr>
              <w:ind w:firstLine="5"/>
              <w:contextualSpacing/>
              <w:rPr>
                <w:b/>
                <w:bCs/>
                <w:i/>
                <w:u w:val="single"/>
              </w:rPr>
            </w:pPr>
            <w:r w:rsidRPr="00B933DD">
              <w:rPr>
                <w:b/>
                <w:bCs/>
                <w:i/>
                <w:u w:val="single"/>
              </w:rPr>
              <w:t>Вміст головок з сухим забрудненням, механічними пошкодженнями на глибину більше двох, але не більше п’яти (для ранньостиглої не більше трьох) прилеглих листків, з засічкою головки та качана в сукупності, % від маси, не більше</w:t>
            </w:r>
            <w:r w:rsidRPr="00DF48D5">
              <w:rPr>
                <w:b/>
                <w:bCs/>
                <w:i/>
                <w:u w:val="single"/>
              </w:rPr>
              <w:t xml:space="preserve">: </w:t>
            </w:r>
          </w:p>
          <w:p w:rsidR="007667D5" w:rsidRPr="00DF48D5" w:rsidRDefault="007667D5" w:rsidP="007667D5">
            <w:pPr>
              <w:ind w:firstLine="5"/>
              <w:contextualSpacing/>
              <w:rPr>
                <w:bCs/>
              </w:rPr>
            </w:pPr>
            <w:r w:rsidRPr="00B933DD">
              <w:rPr>
                <w:bCs/>
              </w:rPr>
              <w:t>Не допустимо</w:t>
            </w:r>
            <w:r w:rsidRPr="00DF48D5">
              <w:rPr>
                <w:bCs/>
              </w:rPr>
              <w:t>.</w:t>
            </w:r>
          </w:p>
          <w:p w:rsidR="007667D5" w:rsidRDefault="007667D5" w:rsidP="007667D5">
            <w:pPr>
              <w:ind w:firstLine="5"/>
              <w:contextualSpacing/>
              <w:rPr>
                <w:bCs/>
              </w:rPr>
            </w:pPr>
            <w:r w:rsidRPr="00B933DD">
              <w:rPr>
                <w:b/>
                <w:bCs/>
                <w:i/>
                <w:u w:val="single"/>
              </w:rPr>
              <w:t>Вміст головок з механічними пошкодженнями на глибину більше п’яти (для ранньостиглої більше трьох) прилеглих листків, пророслих, тріснутих, загнилих, запарених, підморожених (з ознаками внутрішнього пожовтіння та побуріння)</w:t>
            </w:r>
            <w:r>
              <w:rPr>
                <w:b/>
                <w:bCs/>
                <w:i/>
                <w:u w:val="single"/>
              </w:rPr>
              <w:t>:</w:t>
            </w:r>
            <w:r w:rsidRPr="00DF48D5">
              <w:rPr>
                <w:bCs/>
              </w:rPr>
              <w:t xml:space="preserve"> </w:t>
            </w:r>
          </w:p>
          <w:p w:rsidR="007667D5" w:rsidRDefault="007667D5" w:rsidP="007667D5">
            <w:pPr>
              <w:ind w:firstLine="5"/>
              <w:contextualSpacing/>
              <w:rPr>
                <w:bCs/>
              </w:rPr>
            </w:pPr>
            <w:r w:rsidRPr="00B933DD">
              <w:rPr>
                <w:bCs/>
              </w:rPr>
              <w:t>Не допустимо</w:t>
            </w:r>
            <w:r w:rsidRPr="00B2349D">
              <w:rPr>
                <w:bCs/>
              </w:rPr>
              <w:t>.</w:t>
            </w:r>
          </w:p>
          <w:p w:rsidR="007667D5" w:rsidRPr="00215EB4" w:rsidRDefault="007667D5" w:rsidP="007667D5">
            <w:pPr>
              <w:ind w:firstLine="5"/>
              <w:contextualSpacing/>
              <w:rPr>
                <w:bCs/>
              </w:rPr>
            </w:pPr>
            <w:r>
              <w:rPr>
                <w:b/>
                <w:bCs/>
                <w:i/>
                <w:u w:val="single"/>
              </w:rPr>
              <w:t>Паковання</w:t>
            </w:r>
            <w:r w:rsidRPr="00DF48D5">
              <w:rPr>
                <w:b/>
                <w:bCs/>
                <w:i/>
                <w:u w:val="single"/>
              </w:rPr>
              <w:t>:</w:t>
            </w:r>
            <w:r w:rsidRPr="00DF48D5">
              <w:rPr>
                <w:bCs/>
              </w:rPr>
              <w:t xml:space="preserve"> </w:t>
            </w:r>
            <w:r w:rsidRPr="00215EB4">
              <w:rPr>
                <w:bCs/>
              </w:rPr>
              <w:t xml:space="preserve">Капусту білоголову ранньостиглих строків дозрівання пакують у ящики згідно з ГОСТ 17812, ГОСТ 20463. Капусту білоголову середньостиглих і пізньостиглих строків достигання пакують у ящики згідно з ГОСТ 17812, ГОСТ 20463, в ящикові піддони згідно з ДСТУ 2052, ГОСТ 21133, тару- устаткування згідно з ДСТУ 24831 чи тару, виготовлену згідно з іншою нормативною документацією. Укладають капусту білоголову всіх строків достигання врівень з краями тари. Допустимо капусту білоголову свіжу не упаковувати. Допустимі відхили для капусти білоголової свіжої за масою або кількістю, яка </w:t>
            </w:r>
            <w:r>
              <w:rPr>
                <w:bCs/>
              </w:rPr>
              <w:t>міститься в пакувальній одиниці</w:t>
            </w:r>
            <w:r w:rsidRPr="00215EB4">
              <w:rPr>
                <w:bCs/>
              </w:rPr>
              <w:t>.</w:t>
            </w:r>
          </w:p>
          <w:p w:rsidR="007667D5" w:rsidRPr="00215EB4" w:rsidRDefault="007667D5" w:rsidP="007667D5">
            <w:pPr>
              <w:contextualSpacing/>
              <w:rPr>
                <w:bCs/>
              </w:rPr>
            </w:pPr>
            <w:r w:rsidRPr="00215EB4">
              <w:rPr>
                <w:bCs/>
              </w:rPr>
              <w:t xml:space="preserve"> Кожна пакувальна одиниця повинна містити капусту білоголову свіжу одного ботанічного і товарного сорту. Тара для пакування має бути ціла, міцна, чиста, суха, без стороннього запаху, а під час повторного використання продезінфікована.</w:t>
            </w:r>
          </w:p>
          <w:p w:rsidR="007667D5" w:rsidRPr="00DF48D5" w:rsidRDefault="007667D5" w:rsidP="007667D5">
            <w:pPr>
              <w:ind w:firstLine="5"/>
              <w:contextualSpacing/>
              <w:rPr>
                <w:bCs/>
              </w:rPr>
            </w:pPr>
            <w:r w:rsidRPr="00DF48D5">
              <w:rPr>
                <w:b/>
                <w:bCs/>
                <w:i/>
                <w:u w:val="single"/>
              </w:rPr>
              <w:t xml:space="preserve">Термін придатності </w:t>
            </w:r>
            <w:r w:rsidRPr="00DF48D5">
              <w:rPr>
                <w:bCs/>
              </w:rPr>
              <w:t>від загального терміну зберігання, передбаченого виробником, на час поставки (не менше, ніж): не менше 80 %.</w:t>
            </w:r>
          </w:p>
          <w:p w:rsidR="007667D5" w:rsidRPr="00DF48D5" w:rsidRDefault="007667D5" w:rsidP="007667D5">
            <w:pPr>
              <w:ind w:firstLine="5"/>
              <w:contextualSpacing/>
              <w:rPr>
                <w:bCs/>
              </w:rPr>
            </w:pPr>
            <w:r w:rsidRPr="00DF48D5">
              <w:rPr>
                <w:b/>
                <w:bCs/>
                <w:i/>
                <w:u w:val="single"/>
              </w:rPr>
              <w:t>Товар повинен відповідати</w:t>
            </w:r>
            <w:r w:rsidRPr="00DF48D5">
              <w:rPr>
                <w:bCs/>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rsidR="007667D5" w:rsidRPr="00DF48D5" w:rsidRDefault="007667D5" w:rsidP="007667D5">
            <w:pPr>
              <w:ind w:firstLine="5"/>
              <w:contextualSpacing/>
              <w:rPr>
                <w:b/>
                <w:bCs/>
              </w:rPr>
            </w:pPr>
            <w:r w:rsidRPr="00DF48D5">
              <w:rPr>
                <w:b/>
                <w:bCs/>
                <w:i/>
                <w:u w:val="single"/>
              </w:rPr>
              <w:t>Продукція повинна транспортуватись</w:t>
            </w:r>
            <w:r>
              <w:rPr>
                <w:bCs/>
              </w:rPr>
              <w:t xml:space="preserve"> у спеціалізованому транспорті</w:t>
            </w:r>
            <w:r w:rsidRPr="00DF48D5">
              <w:rPr>
                <w:bCs/>
              </w:rPr>
              <w:t>.</w:t>
            </w:r>
          </w:p>
        </w:tc>
        <w:tc>
          <w:tcPr>
            <w:tcW w:w="1475" w:type="dxa"/>
            <w:tcBorders>
              <w:top w:val="single" w:sz="8" w:space="0" w:color="auto"/>
              <w:left w:val="single" w:sz="6" w:space="0" w:color="auto"/>
              <w:bottom w:val="single" w:sz="8" w:space="0" w:color="auto"/>
              <w:right w:val="single" w:sz="8" w:space="0" w:color="auto"/>
            </w:tcBorders>
          </w:tcPr>
          <w:p w:rsidR="007667D5" w:rsidRPr="003D259E" w:rsidRDefault="007667D5" w:rsidP="007667D5">
            <w:pPr>
              <w:ind w:firstLine="5"/>
              <w:jc w:val="center"/>
              <w:rPr>
                <w:bCs/>
                <w:color w:val="auto"/>
                <w:sz w:val="20"/>
                <w:szCs w:val="20"/>
              </w:rPr>
            </w:pPr>
          </w:p>
        </w:tc>
      </w:tr>
      <w:tr w:rsidR="007667D5"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67D5" w:rsidRDefault="007667D5" w:rsidP="007667D5">
            <w:pPr>
              <w:jc w:val="right"/>
              <w:rPr>
                <w:b/>
                <w:bCs/>
                <w:color w:val="auto"/>
                <w:sz w:val="20"/>
                <w:szCs w:val="20"/>
              </w:rPr>
            </w:pPr>
            <w:r w:rsidRPr="007667D5">
              <w:rPr>
                <w:b/>
                <w:bCs/>
                <w:color w:val="auto"/>
              </w:rPr>
              <w:t>3</w:t>
            </w:r>
            <w:r>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67D5" w:rsidRDefault="007667D5" w:rsidP="007667D5">
            <w:pPr>
              <w:pStyle w:val="3"/>
              <w:numPr>
                <w:ilvl w:val="0"/>
                <w:numId w:val="0"/>
              </w:numPr>
              <w:tabs>
                <w:tab w:val="left" w:pos="708"/>
              </w:tabs>
              <w:spacing w:before="0" w:after="0"/>
              <w:ind w:left="720"/>
              <w:contextualSpacing/>
              <w:rPr>
                <w:rFonts w:ascii="Times New Roman" w:hAnsi="Times New Roman" w:cs="Times New Roman"/>
                <w:sz w:val="24"/>
                <w:szCs w:val="24"/>
              </w:rPr>
            </w:pPr>
            <w:r>
              <w:rPr>
                <w:rFonts w:ascii="Times New Roman" w:hAnsi="Times New Roman" w:cs="Times New Roman"/>
                <w:sz w:val="24"/>
                <w:szCs w:val="24"/>
              </w:rPr>
              <w:t>Морква</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67D5" w:rsidRDefault="007667D5" w:rsidP="007667D5">
            <w:pPr>
              <w:ind w:firstLine="5"/>
              <w:contextualSpacing/>
              <w:rPr>
                <w:b/>
                <w:bCs/>
              </w:rPr>
            </w:pPr>
            <w:r w:rsidRPr="00EA47D5">
              <w:rPr>
                <w:b/>
                <w:bCs/>
              </w:rPr>
              <w:t xml:space="preserve">Морква відповідно до ДСТУ 7035:2009 </w:t>
            </w:r>
          </w:p>
          <w:p w:rsidR="007667D5" w:rsidRDefault="007667D5" w:rsidP="007667D5">
            <w:pPr>
              <w:ind w:firstLine="5"/>
              <w:contextualSpacing/>
            </w:pPr>
            <w:r w:rsidRPr="00EA47D5">
              <w:rPr>
                <w:b/>
                <w:bCs/>
              </w:rPr>
              <w:t>«Морква свіжа. Технічні умови»</w:t>
            </w:r>
            <w:r w:rsidRPr="00DF48D5">
              <w:rPr>
                <w:b/>
                <w:bCs/>
              </w:rPr>
              <w:t>:</w:t>
            </w:r>
            <w:r w:rsidRPr="006672CE">
              <w:t xml:space="preserve"> </w:t>
            </w:r>
          </w:p>
          <w:p w:rsidR="007667D5" w:rsidRDefault="007667D5" w:rsidP="007667D5">
            <w:pPr>
              <w:ind w:firstLine="5"/>
              <w:contextualSpacing/>
              <w:rPr>
                <w:bCs/>
              </w:rPr>
            </w:pPr>
            <w:r w:rsidRPr="00263930">
              <w:rPr>
                <w:bCs/>
              </w:rPr>
              <w:t>Цей стандарт поширюється на коренеплоди моркви свіжої (</w:t>
            </w:r>
            <w:r w:rsidRPr="00C6125D">
              <w:rPr>
                <w:bCs/>
              </w:rPr>
              <w:t>Daucus</w:t>
            </w:r>
            <w:r w:rsidRPr="00263930">
              <w:rPr>
                <w:bCs/>
              </w:rPr>
              <w:t xml:space="preserve"> </w:t>
            </w:r>
            <w:r w:rsidRPr="00C6125D">
              <w:rPr>
                <w:bCs/>
              </w:rPr>
              <w:t>carota</w:t>
            </w:r>
            <w:r w:rsidRPr="00263930">
              <w:rPr>
                <w:bCs/>
              </w:rPr>
              <w:t xml:space="preserve"> </w:t>
            </w:r>
            <w:r w:rsidRPr="00C6125D">
              <w:rPr>
                <w:bCs/>
              </w:rPr>
              <w:t>L</w:t>
            </w:r>
            <w:r w:rsidRPr="00263930">
              <w:rPr>
                <w:bCs/>
              </w:rPr>
              <w:t>),</w:t>
            </w:r>
            <w:r>
              <w:rPr>
                <w:bCs/>
              </w:rPr>
              <w:t xml:space="preserve"> </w:t>
            </w:r>
            <w:r w:rsidRPr="00C6125D">
              <w:rPr>
                <w:bCs/>
              </w:rPr>
              <w:t>яку заготовляють, постачають і реалізують у свіжому вигляді для споживання та промислового переробляння</w:t>
            </w:r>
            <w:r>
              <w:rPr>
                <w:bCs/>
              </w:rPr>
              <w:t xml:space="preserve">. </w:t>
            </w:r>
          </w:p>
          <w:p w:rsidR="007667D5" w:rsidRDefault="007667D5" w:rsidP="007667D5">
            <w:pPr>
              <w:ind w:firstLine="5"/>
              <w:contextualSpacing/>
              <w:rPr>
                <w:bCs/>
              </w:rPr>
            </w:pPr>
            <w:r w:rsidRPr="00A71F7C">
              <w:rPr>
                <w:bCs/>
              </w:rPr>
              <w:t xml:space="preserve">За ознакою форми коренеплоди моркви поділяють на сортотипи: Геранда, Каротель, Шантене, Нантська, Амстердамський, Валерія. Моркву свіжу, залежно від якості, поділяють на два товарних сорти: перший та другий. Морква першого товарного сорту має бути помита або очищенна від землі сухим способом і розфасована. Моркву, призначену на зберігання, мити не рекомендовано. До другого товарного сорта належить морква, яку не можна віднести до першого сорту, але вона відповідає вимогам, наведеним нижче, може бути розфасована і нерозфасована. </w:t>
            </w:r>
          </w:p>
          <w:p w:rsidR="007667D5" w:rsidRPr="006672CE" w:rsidRDefault="007667D5" w:rsidP="007667D5">
            <w:pPr>
              <w:ind w:firstLine="5"/>
              <w:contextualSpacing/>
              <w:rPr>
                <w:bCs/>
              </w:rPr>
            </w:pPr>
            <w:r w:rsidRPr="00DF48D5">
              <w:rPr>
                <w:b/>
                <w:bCs/>
                <w:i/>
                <w:u w:val="single"/>
              </w:rPr>
              <w:t xml:space="preserve">Вигляд </w:t>
            </w:r>
            <w:r w:rsidRPr="00A71F7C">
              <w:rPr>
                <w:bCs/>
              </w:rPr>
              <w:t>Коренеплоди свіжі, цілі, чисті, не зів’ялі, не тріснуті, без пошкоджень, не уражені хворобами, без надмірної зовнішньої вологи, типові для ботанічного сортотипу за формою і забарвленням, з довжиною залишених черешків не більше 2,0 см або з обрізаними врівень з плечиками коренеплода</w:t>
            </w:r>
            <w:r>
              <w:rPr>
                <w:bCs/>
              </w:rPr>
              <w:t>.</w:t>
            </w:r>
          </w:p>
          <w:p w:rsidR="007667D5" w:rsidRPr="00DF48D5" w:rsidRDefault="007667D5" w:rsidP="007667D5">
            <w:pPr>
              <w:ind w:firstLine="5"/>
              <w:contextualSpacing/>
              <w:rPr>
                <w:bCs/>
              </w:rPr>
            </w:pPr>
            <w:r>
              <w:rPr>
                <w:b/>
                <w:bCs/>
                <w:i/>
                <w:u w:val="single"/>
              </w:rPr>
              <w:t>Смак і запах</w:t>
            </w:r>
            <w:r w:rsidRPr="00DF48D5">
              <w:rPr>
                <w:b/>
                <w:bCs/>
                <w:i/>
                <w:u w:val="single"/>
              </w:rPr>
              <w:t xml:space="preserve">: </w:t>
            </w:r>
            <w:r w:rsidRPr="00A71F7C">
              <w:rPr>
                <w:bCs/>
              </w:rPr>
              <w:t>Властиві даному ботанічному сортотипу, без стороннього запаху і присмаку</w:t>
            </w:r>
            <w:r w:rsidRPr="00DF48D5">
              <w:rPr>
                <w:bCs/>
              </w:rPr>
              <w:t>.</w:t>
            </w:r>
          </w:p>
          <w:p w:rsidR="007667D5" w:rsidRPr="00A71F7C" w:rsidRDefault="007667D5" w:rsidP="007667D5">
            <w:pPr>
              <w:ind w:firstLine="5"/>
              <w:contextualSpacing/>
              <w:rPr>
                <w:b/>
                <w:bCs/>
                <w:i/>
                <w:u w:val="single"/>
              </w:rPr>
            </w:pPr>
            <w:r w:rsidRPr="00A71F7C">
              <w:rPr>
                <w:b/>
                <w:bCs/>
                <w:i/>
                <w:u w:val="single"/>
              </w:rPr>
              <w:t>Розмір коренеплода за найбільшим</w:t>
            </w:r>
          </w:p>
          <w:p w:rsidR="007667D5" w:rsidRDefault="007667D5" w:rsidP="007667D5">
            <w:pPr>
              <w:ind w:firstLine="5"/>
              <w:contextualSpacing/>
              <w:rPr>
                <w:b/>
                <w:bCs/>
                <w:i/>
                <w:u w:val="single"/>
              </w:rPr>
            </w:pPr>
            <w:r w:rsidRPr="00A71F7C">
              <w:rPr>
                <w:b/>
                <w:bCs/>
                <w:i/>
                <w:u w:val="single"/>
              </w:rPr>
              <w:t>поперечним діаметром, см:</w:t>
            </w:r>
            <w:r w:rsidRPr="00DF48D5">
              <w:rPr>
                <w:b/>
                <w:bCs/>
                <w:i/>
                <w:u w:val="single"/>
              </w:rPr>
              <w:t xml:space="preserve"> </w:t>
            </w:r>
          </w:p>
          <w:p w:rsidR="007667D5" w:rsidRPr="00DF48D5" w:rsidRDefault="007667D5" w:rsidP="007667D5">
            <w:pPr>
              <w:ind w:firstLine="5"/>
              <w:contextualSpacing/>
              <w:rPr>
                <w:bCs/>
              </w:rPr>
            </w:pPr>
            <w:r w:rsidRPr="00A71F7C">
              <w:rPr>
                <w:bCs/>
              </w:rPr>
              <w:t>4,0—6,0</w:t>
            </w:r>
            <w:r>
              <w:rPr>
                <w:bCs/>
              </w:rPr>
              <w:t>.</w:t>
            </w:r>
          </w:p>
          <w:p w:rsidR="007667D5" w:rsidRPr="00DF48D5" w:rsidRDefault="007667D5" w:rsidP="007667D5">
            <w:pPr>
              <w:ind w:firstLine="5"/>
              <w:contextualSpacing/>
              <w:rPr>
                <w:bCs/>
              </w:rPr>
            </w:pPr>
            <w:r w:rsidRPr="00A71F7C">
              <w:rPr>
                <w:b/>
                <w:bCs/>
                <w:i/>
                <w:u w:val="single"/>
              </w:rPr>
              <w:t>Розмір коренеплода за довжиною, см, не менше:</w:t>
            </w:r>
            <w:r w:rsidRPr="00FD3267">
              <w:rPr>
                <w:b/>
                <w:bCs/>
                <w:i/>
                <w:u w:val="single"/>
              </w:rPr>
              <w:cr/>
            </w:r>
            <w:r>
              <w:t xml:space="preserve"> </w:t>
            </w:r>
            <w:r w:rsidRPr="00A71F7C">
              <w:rPr>
                <w:bCs/>
              </w:rPr>
              <w:t>10,0</w:t>
            </w:r>
            <w:r w:rsidRPr="00DF48D5">
              <w:rPr>
                <w:bCs/>
              </w:rPr>
              <w:t>.</w:t>
            </w:r>
          </w:p>
          <w:p w:rsidR="007667D5" w:rsidRDefault="007667D5" w:rsidP="007667D5">
            <w:pPr>
              <w:ind w:firstLine="5"/>
              <w:contextualSpacing/>
              <w:rPr>
                <w:b/>
                <w:bCs/>
                <w:i/>
                <w:u w:val="single"/>
              </w:rPr>
            </w:pPr>
            <w:r w:rsidRPr="00A71F7C">
              <w:rPr>
                <w:b/>
                <w:bCs/>
                <w:i/>
                <w:u w:val="single"/>
              </w:rPr>
              <w:t>Вміст коренеплодів, % відносно маси, не більше: надламаних, довжиною не менше 7,0 см (коренеплід, відломлений біля осьового корінця), не типові за формою, але не розгалужені, з неправильно обрізаними листками (порізами плечиків), у сукупності</w:t>
            </w:r>
            <w:r w:rsidRPr="00DF48D5">
              <w:rPr>
                <w:b/>
                <w:bCs/>
                <w:i/>
                <w:u w:val="single"/>
              </w:rPr>
              <w:t xml:space="preserve">: </w:t>
            </w:r>
          </w:p>
          <w:p w:rsidR="007667D5" w:rsidRPr="00DF48D5" w:rsidRDefault="007667D5" w:rsidP="007667D5">
            <w:pPr>
              <w:ind w:firstLine="5"/>
              <w:contextualSpacing/>
              <w:rPr>
                <w:bCs/>
              </w:rPr>
            </w:pPr>
            <w:r w:rsidRPr="003A6925">
              <w:rPr>
                <w:bCs/>
              </w:rPr>
              <w:t>Не допустимо</w:t>
            </w:r>
            <w:r w:rsidRPr="00DF48D5">
              <w:rPr>
                <w:bCs/>
              </w:rPr>
              <w:t>.</w:t>
            </w:r>
          </w:p>
          <w:p w:rsidR="007667D5" w:rsidRDefault="007667D5" w:rsidP="007667D5">
            <w:pPr>
              <w:ind w:firstLine="5"/>
              <w:contextualSpacing/>
              <w:rPr>
                <w:bCs/>
              </w:rPr>
            </w:pPr>
            <w:r w:rsidRPr="003A6925">
              <w:rPr>
                <w:b/>
                <w:bCs/>
                <w:i/>
                <w:u w:val="single"/>
              </w:rPr>
              <w:t>Вміст коренеплодів з тріщинами довжиною не більше 2,0 см і глибиною не більше 0,5 см</w:t>
            </w:r>
            <w:r>
              <w:rPr>
                <w:b/>
                <w:bCs/>
                <w:i/>
                <w:u w:val="single"/>
              </w:rPr>
              <w:t>:</w:t>
            </w:r>
            <w:r w:rsidRPr="00DF48D5">
              <w:rPr>
                <w:bCs/>
              </w:rPr>
              <w:t xml:space="preserve"> </w:t>
            </w:r>
          </w:p>
          <w:p w:rsidR="007667D5" w:rsidRDefault="007667D5" w:rsidP="007667D5">
            <w:pPr>
              <w:ind w:firstLine="5"/>
              <w:contextualSpacing/>
              <w:rPr>
                <w:bCs/>
              </w:rPr>
            </w:pPr>
            <w:r w:rsidRPr="003A6925">
              <w:rPr>
                <w:bCs/>
              </w:rPr>
              <w:t>Не допустимо</w:t>
            </w:r>
            <w:r>
              <w:rPr>
                <w:bCs/>
              </w:rPr>
              <w:t>.</w:t>
            </w:r>
          </w:p>
          <w:p w:rsidR="007667D5" w:rsidRDefault="007667D5" w:rsidP="007667D5">
            <w:pPr>
              <w:ind w:firstLine="5"/>
              <w:contextualSpacing/>
              <w:rPr>
                <w:b/>
                <w:bCs/>
                <w:i/>
                <w:u w:val="single"/>
              </w:rPr>
            </w:pPr>
            <w:r w:rsidRPr="003A6925">
              <w:rPr>
                <w:b/>
                <w:bCs/>
                <w:i/>
                <w:u w:val="single"/>
              </w:rPr>
              <w:t>Вміст коренеплодів підгнилих, зів’ялих, з ознаками зморшкуватості, запарених, підморожених, тріснутих, з відкритою серцевиною</w:t>
            </w:r>
            <w:r>
              <w:rPr>
                <w:b/>
                <w:bCs/>
                <w:i/>
                <w:u w:val="single"/>
              </w:rPr>
              <w:t>:</w:t>
            </w:r>
          </w:p>
          <w:p w:rsidR="007667D5" w:rsidRDefault="007667D5" w:rsidP="007667D5">
            <w:pPr>
              <w:ind w:firstLine="5"/>
              <w:contextualSpacing/>
              <w:rPr>
                <w:bCs/>
              </w:rPr>
            </w:pPr>
            <w:r w:rsidRPr="003A6925">
              <w:rPr>
                <w:bCs/>
              </w:rPr>
              <w:t>Не допустимо</w:t>
            </w:r>
            <w:r>
              <w:rPr>
                <w:bCs/>
              </w:rPr>
              <w:t>.</w:t>
            </w:r>
          </w:p>
          <w:p w:rsidR="007667D5" w:rsidRDefault="007667D5" w:rsidP="007667D5">
            <w:pPr>
              <w:ind w:firstLine="5"/>
              <w:contextualSpacing/>
              <w:rPr>
                <w:b/>
                <w:bCs/>
                <w:i/>
                <w:u w:val="single"/>
              </w:rPr>
            </w:pPr>
            <w:r w:rsidRPr="003A6925">
              <w:rPr>
                <w:b/>
                <w:bCs/>
                <w:i/>
                <w:u w:val="single"/>
              </w:rPr>
              <w:t xml:space="preserve">Примітка. </w:t>
            </w:r>
            <w:r w:rsidRPr="003A6925">
              <w:rPr>
                <w:bCs/>
              </w:rPr>
              <w:t>Надмірна зовнішня вологість наявність на коренеплодах вологи від дощу, роси, або поливу. Конденсат на коренеплодах, спричинений різницею температури, не вважають за надмірну зовнішню вологість.</w:t>
            </w:r>
            <w:r w:rsidRPr="003A6925">
              <w:rPr>
                <w:b/>
                <w:bCs/>
                <w:i/>
                <w:u w:val="single"/>
              </w:rPr>
              <w:t xml:space="preserve"> </w:t>
            </w:r>
          </w:p>
          <w:p w:rsidR="007667D5" w:rsidRPr="00DF48D5" w:rsidRDefault="007667D5" w:rsidP="007667D5">
            <w:pPr>
              <w:ind w:firstLine="5"/>
              <w:contextualSpacing/>
              <w:rPr>
                <w:bCs/>
              </w:rPr>
            </w:pPr>
            <w:r>
              <w:rPr>
                <w:b/>
                <w:bCs/>
                <w:i/>
                <w:u w:val="single"/>
              </w:rPr>
              <w:t>Паковання</w:t>
            </w:r>
            <w:r w:rsidRPr="00DF48D5">
              <w:rPr>
                <w:b/>
                <w:bCs/>
                <w:i/>
                <w:u w:val="single"/>
              </w:rPr>
              <w:t>:</w:t>
            </w:r>
            <w:r w:rsidRPr="00DF48D5">
              <w:rPr>
                <w:bCs/>
              </w:rPr>
              <w:t xml:space="preserve"> </w:t>
            </w:r>
            <w:r w:rsidRPr="001E2C1E">
              <w:rPr>
                <w:bCs/>
              </w:rPr>
              <w:t>Морква свіжа, підготовлена до пакування, не повинна бути вологою. Коренеплоди розсортовують на товарні сорти та пакують так, щоб забезпечити їх належне зберігання. Моркву свіжу пакують у спожиткову тару: — пакети з поліетиленової плівки, згідно з ГОСТ 10354, або іншої прозорої плівки, дозволеної центральними органами виконавчої влади у сфері охорони здоров’я для пакування харчових продуктів, масою нетто не більше 2 кг; — мішки сітчасті або полімерні завтовшки від 40 мк до 60 мк, згідно з чинною нормативною документацією, або іноземного виробництва, дозволені центральними органами виконавчої влади у сфері охорони здоров’я для пакування харчових продуктів, масою нетто до 10 кг. Морква, розфасована в пакети, мішки та сітки, має бути упакована в транспортну тару в ящики згідно з ГОСТ 13359, ГОСТ 17812, лотки із полістиролу, тару універсальну із термопластів, іншу виготовлену за іншою нормативно-технічною документацією, які забезпечують збереження під час транспортування і зберігання. Допустимо пакувати довільною масою нетто. Нерозфасовану моркву пакують: у ящики згідно з ГОСТ 17812, ГОСТ 20463, масою нетто не більше ніж 20 кг; тканинні мішки згідно з ГОСТ 18225 та ГОСТ 19317 не більше ніж 30 кг, сітчасті мішки від 10 кг до 15 кг, полімерні мішки завтовшки від 100 мк до 200 мк від 20 кг до 25 кг; пластикові чи картонні ящики з отворами згідно з чинною нормативною документацією або іноземного виробництва, дозволені центральними органами виконавчої влади у сфері охорони здоров’я для пакування харчових продуктів масою нетто до 20 кг; укладаючи щільно, врівень з краями тари. Мішки сітчасті або поліетиленові не повинні наносити пошкодження коренеплодам моркви. Моркву свіжу в мішках, ящиках пакують у піддони ящикові згідно з ДСТУ 2052, ГОСТ 21133 чи спеціальні контейнери, на (2—3) см нижче від краю тари. Визначають масу нетто кожної паковальної одиниці, розфасованої довільною масою для відпускання продукції. Допустимо моркву другого сорту не фасувати. Допустимі відхили для фасованої моркви за масою або кількістю розфасованої продукції. Кожна пакувальна одиниця повинна містити коренеплоди моркви одного ботанічного і товарного сорту. Морква першого сорту повинна бути однорідна за формою та забарвленням. Тара для пакування коренеплодів повинна бути ціла, міцна, чиста, суха, без стороннього запаху, а для повторного використання продезінфікована.</w:t>
            </w:r>
          </w:p>
          <w:p w:rsidR="007667D5" w:rsidRPr="00DF48D5" w:rsidRDefault="007667D5" w:rsidP="007667D5">
            <w:pPr>
              <w:ind w:firstLine="5"/>
              <w:contextualSpacing/>
              <w:rPr>
                <w:bCs/>
              </w:rPr>
            </w:pPr>
            <w:r w:rsidRPr="00DF48D5">
              <w:rPr>
                <w:b/>
                <w:bCs/>
                <w:i/>
                <w:u w:val="single"/>
              </w:rPr>
              <w:t xml:space="preserve">Термін придатності </w:t>
            </w:r>
            <w:r w:rsidRPr="00DF48D5">
              <w:rPr>
                <w:bCs/>
              </w:rPr>
              <w:t>від загального терміну зберігання, передбаченого виробником, на час поставки (не менше, ніж): не менше 80 %.</w:t>
            </w:r>
          </w:p>
          <w:p w:rsidR="007667D5" w:rsidRPr="00DF48D5" w:rsidRDefault="007667D5" w:rsidP="007667D5">
            <w:pPr>
              <w:ind w:firstLine="5"/>
              <w:contextualSpacing/>
              <w:rPr>
                <w:bCs/>
              </w:rPr>
            </w:pPr>
            <w:r w:rsidRPr="00DF48D5">
              <w:rPr>
                <w:bCs/>
              </w:rPr>
              <w:t xml:space="preserve"> </w:t>
            </w:r>
            <w:r w:rsidRPr="00DF48D5">
              <w:rPr>
                <w:b/>
                <w:bCs/>
                <w:i/>
                <w:u w:val="single"/>
              </w:rPr>
              <w:t>Товар повинен відповідати</w:t>
            </w:r>
            <w:r w:rsidRPr="00DF48D5">
              <w:rPr>
                <w:bCs/>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rsidR="007667D5" w:rsidRPr="00DF48D5" w:rsidRDefault="007667D5" w:rsidP="007667D5">
            <w:pPr>
              <w:ind w:firstLine="5"/>
              <w:contextualSpacing/>
              <w:rPr>
                <w:b/>
                <w:bCs/>
              </w:rPr>
            </w:pPr>
            <w:r w:rsidRPr="00DF48D5">
              <w:rPr>
                <w:b/>
                <w:bCs/>
                <w:i/>
                <w:u w:val="single"/>
              </w:rPr>
              <w:t>Продукція повинна транспортуватись</w:t>
            </w:r>
            <w:r>
              <w:rPr>
                <w:bCs/>
              </w:rPr>
              <w:t xml:space="preserve"> у спеціалізованому транспорті</w:t>
            </w:r>
            <w:r w:rsidRPr="00DF48D5">
              <w:rPr>
                <w:bCs/>
              </w:rPr>
              <w:t>.</w:t>
            </w:r>
          </w:p>
        </w:tc>
        <w:tc>
          <w:tcPr>
            <w:tcW w:w="1475" w:type="dxa"/>
            <w:tcBorders>
              <w:top w:val="single" w:sz="8" w:space="0" w:color="auto"/>
              <w:left w:val="single" w:sz="6" w:space="0" w:color="auto"/>
              <w:bottom w:val="single" w:sz="8" w:space="0" w:color="auto"/>
              <w:right w:val="single" w:sz="8" w:space="0" w:color="auto"/>
            </w:tcBorders>
          </w:tcPr>
          <w:p w:rsidR="007667D5" w:rsidRPr="003D259E" w:rsidRDefault="007667D5" w:rsidP="007667D5">
            <w:pPr>
              <w:ind w:firstLine="5"/>
              <w:jc w:val="center"/>
              <w:rPr>
                <w:bCs/>
                <w:color w:val="auto"/>
                <w:sz w:val="20"/>
                <w:szCs w:val="20"/>
              </w:rPr>
            </w:pPr>
          </w:p>
        </w:tc>
      </w:tr>
    </w:tbl>
    <w:p w:rsidR="00C16B20" w:rsidRPr="009E10D5" w:rsidRDefault="00C16B20" w:rsidP="00C16B20">
      <w:pPr>
        <w:shd w:val="clear" w:color="auto" w:fill="FFFFFF"/>
        <w:jc w:val="center"/>
        <w:rPr>
          <w:color w:val="auto"/>
          <w:sz w:val="22"/>
          <w:szCs w:val="22"/>
        </w:rPr>
      </w:pPr>
    </w:p>
    <w:p w:rsidR="0008684A" w:rsidRPr="00C16B20" w:rsidRDefault="0008684A" w:rsidP="00C16B20">
      <w:pPr>
        <w:pStyle w:val="a3"/>
        <w:widowControl w:val="0"/>
        <w:jc w:val="both"/>
        <w:rPr>
          <w:lang w:val="uk-UA"/>
        </w:rPr>
      </w:pPr>
    </w:p>
    <w:sectPr w:rsidR="0008684A" w:rsidRPr="00C16B20"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EF3761" w:rsidRPr="00EF3761">
          <w:rPr>
            <w:noProof/>
            <w:lang w:val="ru-RU"/>
          </w:rPr>
          <w:t>1</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6"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9"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A445F"/>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D4FD0"/>
    <w:rsid w:val="002E3131"/>
    <w:rsid w:val="002E3998"/>
    <w:rsid w:val="002E6F0D"/>
    <w:rsid w:val="00305D38"/>
    <w:rsid w:val="0031751F"/>
    <w:rsid w:val="003210F9"/>
    <w:rsid w:val="0032486A"/>
    <w:rsid w:val="0033613F"/>
    <w:rsid w:val="00344206"/>
    <w:rsid w:val="003463C5"/>
    <w:rsid w:val="00351BBE"/>
    <w:rsid w:val="003746D1"/>
    <w:rsid w:val="00375468"/>
    <w:rsid w:val="00387853"/>
    <w:rsid w:val="00396E1C"/>
    <w:rsid w:val="003A0D19"/>
    <w:rsid w:val="003A2E20"/>
    <w:rsid w:val="003A4D14"/>
    <w:rsid w:val="003A7170"/>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52831"/>
    <w:rsid w:val="007618F3"/>
    <w:rsid w:val="00763E09"/>
    <w:rsid w:val="007667D5"/>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241FE"/>
    <w:rsid w:val="008271A9"/>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16B20"/>
    <w:rsid w:val="00C22538"/>
    <w:rsid w:val="00C26597"/>
    <w:rsid w:val="00C40ABC"/>
    <w:rsid w:val="00C556FF"/>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17C10"/>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141C6"/>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EF3761"/>
    <w:rsid w:val="00F00B44"/>
    <w:rsid w:val="00F2322F"/>
    <w:rsid w:val="00F5096D"/>
    <w:rsid w:val="00F53CEE"/>
    <w:rsid w:val="00F56526"/>
    <w:rsid w:val="00F63F32"/>
    <w:rsid w:val="00F708F5"/>
    <w:rsid w:val="00F771CB"/>
    <w:rsid w:val="00F81324"/>
    <w:rsid w:val="00F8516B"/>
    <w:rsid w:val="00F968A7"/>
    <w:rsid w:val="00FA3FA8"/>
    <w:rsid w:val="00FB46B9"/>
    <w:rsid w:val="00FB584E"/>
    <w:rsid w:val="00FC63F1"/>
    <w:rsid w:val="00FD5E96"/>
    <w:rsid w:val="00FE5635"/>
    <w:rsid w:val="00FF16E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 w:type="character" w:customStyle="1" w:styleId="1">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16B20"/>
    <w:rPr>
      <w:rFonts w:eastAsia="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7EC6-7BC0-4C24-BFD1-5F4DEAC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10276</Words>
  <Characters>5858</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2022-11-24T13:03:00Z</cp:lastPrinted>
  <dcterms:created xsi:type="dcterms:W3CDTF">2023-06-09T12:47:00Z</dcterms:created>
  <dcterms:modified xsi:type="dcterms:W3CDTF">2023-06-09T12:47:00Z</dcterms:modified>
</cp:coreProperties>
</file>