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203CBFE1"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Протокол № </w:t>
            </w:r>
            <w:r w:rsidR="009F0BEE">
              <w:rPr>
                <w:rFonts w:ascii="Times New Roman" w:eastAsia="Times New Roman" w:hAnsi="Times New Roman" w:cs="Times New Roman"/>
                <w:b/>
                <w:bCs/>
                <w:sz w:val="20"/>
                <w:szCs w:val="20"/>
                <w:lang w:eastAsia="zh-CN"/>
              </w:rPr>
              <w:t>486</w:t>
            </w:r>
            <w:r w:rsidRPr="008D55A2">
              <w:rPr>
                <w:rFonts w:ascii="Times New Roman" w:eastAsia="Times New Roman" w:hAnsi="Times New Roman" w:cs="Times New Roman"/>
                <w:b/>
                <w:bCs/>
                <w:sz w:val="20"/>
                <w:szCs w:val="20"/>
                <w:lang w:eastAsia="zh-CN"/>
              </w:rPr>
              <w:t xml:space="preserve"> від </w:t>
            </w:r>
            <w:r w:rsidR="00800690">
              <w:rPr>
                <w:rFonts w:ascii="Times New Roman" w:eastAsia="Times New Roman" w:hAnsi="Times New Roman" w:cs="Times New Roman"/>
                <w:b/>
                <w:bCs/>
                <w:sz w:val="20"/>
                <w:szCs w:val="20"/>
                <w:lang w:eastAsia="zh-CN"/>
              </w:rPr>
              <w:t>1</w:t>
            </w:r>
            <w:r w:rsidR="0069011F">
              <w:rPr>
                <w:rFonts w:ascii="Times New Roman" w:eastAsia="Times New Roman" w:hAnsi="Times New Roman" w:cs="Times New Roman"/>
                <w:b/>
                <w:bCs/>
                <w:sz w:val="20"/>
                <w:szCs w:val="20"/>
                <w:lang w:eastAsia="zh-CN"/>
              </w:rPr>
              <w:t>5</w:t>
            </w:r>
            <w:r w:rsidRPr="008D55A2">
              <w:rPr>
                <w:rFonts w:ascii="Times New Roman" w:eastAsia="Times New Roman" w:hAnsi="Times New Roman" w:cs="Times New Roman"/>
                <w:b/>
                <w:bCs/>
                <w:sz w:val="20"/>
                <w:szCs w:val="20"/>
                <w:lang w:eastAsia="zh-CN"/>
              </w:rPr>
              <w:t>.</w:t>
            </w:r>
            <w:r w:rsidR="005037FC">
              <w:rPr>
                <w:rFonts w:ascii="Times New Roman" w:eastAsia="Times New Roman" w:hAnsi="Times New Roman" w:cs="Times New Roman"/>
                <w:b/>
                <w:bCs/>
                <w:sz w:val="20"/>
                <w:szCs w:val="20"/>
                <w:lang w:eastAsia="zh-CN"/>
              </w:rPr>
              <w:t>1</w:t>
            </w:r>
            <w:r w:rsidR="00282776">
              <w:rPr>
                <w:rFonts w:ascii="Times New Roman" w:eastAsia="Times New Roman" w:hAnsi="Times New Roman" w:cs="Times New Roman"/>
                <w:b/>
                <w:bCs/>
                <w:sz w:val="20"/>
                <w:szCs w:val="20"/>
                <w:lang w:eastAsia="zh-CN"/>
              </w:rPr>
              <w:t>1</w:t>
            </w:r>
            <w:r w:rsidRPr="008D55A2">
              <w:rPr>
                <w:rFonts w:ascii="Times New Roman" w:eastAsia="Times New Roman" w:hAnsi="Times New Roman" w:cs="Times New Roman"/>
                <w:b/>
                <w:bCs/>
                <w:sz w:val="20"/>
                <w:szCs w:val="20"/>
                <w:lang w:eastAsia="zh-CN"/>
              </w:rPr>
              <w:t>.2023</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5736CA09"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w:t>
            </w:r>
            <w:proofErr w:type="spellStart"/>
            <w:r w:rsidR="00282776">
              <w:rPr>
                <w:rFonts w:ascii="Times New Roman" w:eastAsia="Times New Roman" w:hAnsi="Times New Roman" w:cs="Times New Roman"/>
                <w:b/>
                <w:bCs/>
                <w:sz w:val="20"/>
                <w:szCs w:val="20"/>
                <w:lang w:eastAsia="zh-CN"/>
              </w:rPr>
              <w:t>В.О.Муха</w:t>
            </w:r>
            <w:proofErr w:type="spellEnd"/>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7777777"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6A74BB80" w:rsidR="00BA7F5B"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50AE55C" w14:textId="77777777" w:rsidR="00C306F1" w:rsidRPr="00C306F1" w:rsidRDefault="00C306F1" w:rsidP="00BA7F5B">
      <w:pPr>
        <w:spacing w:before="240" w:after="0" w:line="240" w:lineRule="auto"/>
        <w:jc w:val="center"/>
        <w:rPr>
          <w:rFonts w:ascii="Times New Roman" w:eastAsia="Times New Roman" w:hAnsi="Times New Roman" w:cs="Times New Roman"/>
          <w:b/>
          <w:color w:val="000000" w:themeColor="text1"/>
          <w:sz w:val="36"/>
          <w:szCs w:val="36"/>
        </w:rPr>
      </w:pPr>
      <w:r w:rsidRPr="00C306F1">
        <w:rPr>
          <w:rFonts w:ascii="Times New Roman" w:eastAsia="Times New Roman" w:hAnsi="Times New Roman" w:cs="Times New Roman"/>
          <w:b/>
          <w:color w:val="000000" w:themeColor="text1"/>
          <w:sz w:val="36"/>
          <w:szCs w:val="36"/>
        </w:rPr>
        <w:t>Пісок, відсів</w:t>
      </w:r>
    </w:p>
    <w:p w14:paraId="1B4A0641" w14:textId="07A4B6F1" w:rsidR="00C306F1" w:rsidRPr="00C306F1" w:rsidRDefault="00C306F1" w:rsidP="00BA7F5B">
      <w:pPr>
        <w:spacing w:before="240" w:after="0" w:line="240" w:lineRule="auto"/>
        <w:jc w:val="center"/>
        <w:rPr>
          <w:rFonts w:ascii="Times New Roman" w:eastAsia="Times New Roman" w:hAnsi="Times New Roman" w:cs="Times New Roman"/>
          <w:b/>
          <w:color w:val="000000" w:themeColor="text1"/>
          <w:sz w:val="36"/>
          <w:szCs w:val="36"/>
        </w:rPr>
      </w:pPr>
      <w:r w:rsidRPr="00C306F1">
        <w:rPr>
          <w:rFonts w:ascii="Times New Roman" w:eastAsia="Times New Roman" w:hAnsi="Times New Roman" w:cs="Times New Roman"/>
          <w:b/>
          <w:color w:val="000000" w:themeColor="text1"/>
          <w:sz w:val="36"/>
          <w:szCs w:val="36"/>
        </w:rPr>
        <w:t xml:space="preserve"> (код ДК 021:2015 14210000-6 – Гравій, пісок, щебінь і наповнювачі)</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C306F1">
      <w:pPr>
        <w:suppressAutoHyphens/>
        <w:spacing w:after="0" w:line="240" w:lineRule="auto"/>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A34798D"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Рівне – 2023</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626C6FF2"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Уповноважена особа –</w:t>
            </w:r>
            <w:r w:rsidR="00282776">
              <w:rPr>
                <w:rFonts w:ascii="Times New Roman" w:eastAsia="Times New Roman" w:hAnsi="Times New Roman" w:cs="Times New Roman"/>
                <w:sz w:val="20"/>
                <w:szCs w:val="20"/>
                <w:lang w:eastAsia="zh-CN"/>
              </w:rPr>
              <w:t xml:space="preserve"> Муха Валентина Олександрівна</w:t>
            </w:r>
            <w:r w:rsidRPr="008D55A2">
              <w:rPr>
                <w:rFonts w:ascii="Times New Roman" w:eastAsia="Times New Roman" w:hAnsi="Times New Roman" w:cs="Times New Roman"/>
                <w:sz w:val="20"/>
                <w:szCs w:val="20"/>
                <w:lang w:eastAsia="zh-CN"/>
              </w:rPr>
              <w:t>;</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proofErr w:type="spellStart"/>
            <w:r w:rsidRPr="008D55A2">
              <w:rPr>
                <w:rFonts w:ascii="Times New Roman" w:eastAsia="Times New Roman" w:hAnsi="Times New Roman" w:cs="Times New Roman"/>
                <w:sz w:val="20"/>
                <w:szCs w:val="20"/>
                <w:lang w:eastAsia="zh-CN"/>
              </w:rPr>
              <w:t>тел</w:t>
            </w:r>
            <w:proofErr w:type="spellEnd"/>
            <w:r w:rsidRPr="008D55A2">
              <w:rPr>
                <w:rFonts w:ascii="Times New Roman" w:eastAsia="Times New Roman" w:hAnsi="Times New Roman" w:cs="Times New Roman"/>
                <w:sz w:val="20"/>
                <w:szCs w:val="20"/>
                <w:lang w:eastAsia="zh-CN"/>
              </w:rPr>
              <w:t xml:space="preserve">.: (0362) 637206, факс (0362)635165, </w:t>
            </w:r>
          </w:p>
          <w:p w14:paraId="3ADB3122" w14:textId="39C66BE8"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w:t>
            </w:r>
            <w:proofErr w:type="spellStart"/>
            <w:r w:rsidRPr="008D55A2">
              <w:rPr>
                <w:rFonts w:ascii="Times New Roman" w:eastAsia="Times New Roman" w:hAnsi="Times New Roman" w:cs="Times New Roman"/>
                <w:sz w:val="20"/>
                <w:szCs w:val="20"/>
                <w:lang w:eastAsia="zh-CN"/>
              </w:rPr>
              <w:t>mail</w:t>
            </w:r>
            <w:proofErr w:type="spellEnd"/>
            <w:r w:rsidRPr="008D55A2">
              <w:rPr>
                <w:rFonts w:ascii="Times New Roman" w:eastAsia="Times New Roman" w:hAnsi="Times New Roman" w:cs="Times New Roman"/>
                <w:sz w:val="20"/>
                <w:szCs w:val="20"/>
                <w:lang w:eastAsia="zh-CN"/>
              </w:rPr>
              <w:t xml:space="preserve">: </w:t>
            </w:r>
            <w:proofErr w:type="spellStart"/>
            <w:r w:rsidR="00282776">
              <w:rPr>
                <w:rFonts w:ascii="Times New Roman" w:eastAsia="Times New Roman" w:hAnsi="Times New Roman" w:cs="Times New Roman"/>
                <w:sz w:val="20"/>
                <w:szCs w:val="20"/>
                <w:lang w:val="en-US" w:eastAsia="zh-CN"/>
              </w:rPr>
              <w:t>rsheu</w:t>
            </w:r>
            <w:proofErr w:type="spellEnd"/>
            <w:r w:rsidRPr="008D55A2">
              <w:rPr>
                <w:rFonts w:ascii="Times New Roman" w:eastAsia="Times New Roman" w:hAnsi="Times New Roman" w:cs="Times New Roman"/>
                <w:sz w:val="20"/>
                <w:szCs w:val="20"/>
                <w:lang w:eastAsia="zh-CN"/>
              </w:rPr>
              <w:t>@ukr.net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6CF3CEAE" w:rsidR="00E422AD" w:rsidRPr="00BA7F5B" w:rsidRDefault="003D1948" w:rsidP="003D1948">
            <w:pPr>
              <w:jc w:val="both"/>
              <w:rPr>
                <w:rFonts w:ascii="Times New Roman" w:eastAsia="Times New Roman" w:hAnsi="Times New Roman" w:cs="Times New Roman"/>
                <w:iCs/>
                <w:sz w:val="20"/>
                <w:szCs w:val="20"/>
              </w:rPr>
            </w:pPr>
            <w:r w:rsidRPr="003D1948">
              <w:rPr>
                <w:rFonts w:ascii="Times New Roman" w:eastAsia="Times New Roman" w:hAnsi="Times New Roman" w:cs="Times New Roman"/>
                <w:iCs/>
                <w:sz w:val="20"/>
                <w:szCs w:val="20"/>
              </w:rPr>
              <w:t>Пісок, відсів</w:t>
            </w:r>
            <w:r>
              <w:rPr>
                <w:rFonts w:ascii="Times New Roman" w:eastAsia="Times New Roman" w:hAnsi="Times New Roman" w:cs="Times New Roman"/>
                <w:iCs/>
                <w:sz w:val="20"/>
                <w:szCs w:val="20"/>
              </w:rPr>
              <w:t xml:space="preserve"> </w:t>
            </w:r>
            <w:r w:rsidRPr="003D1948">
              <w:rPr>
                <w:rFonts w:ascii="Times New Roman" w:eastAsia="Times New Roman" w:hAnsi="Times New Roman" w:cs="Times New Roman"/>
                <w:iCs/>
                <w:sz w:val="20"/>
                <w:szCs w:val="20"/>
              </w:rPr>
              <w:t>(код ДК 021:2015 14210000-6 – Гравій, пісок, щебінь і наповнювачі)</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77FEF1DB" w14:textId="77777777" w:rsidR="0069011F" w:rsidRDefault="0004659B" w:rsidP="00D3618E">
            <w:pPr>
              <w:widowControl w:val="0"/>
              <w:ind w:right="1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Кількість:</w:t>
            </w:r>
          </w:p>
          <w:p w14:paraId="6E49D48F" w14:textId="6B633DEB" w:rsidR="00D3618E" w:rsidRDefault="0069011F" w:rsidP="0069011F">
            <w:pPr>
              <w:widowControl w:val="0"/>
              <w:ind w:right="120"/>
              <w:jc w:val="both"/>
              <w:rPr>
                <w:rFonts w:ascii="Times New Roman" w:eastAsia="Times New Roman" w:hAnsi="Times New Roman" w:cs="Times New Roman"/>
                <w:color w:val="000000"/>
                <w:sz w:val="20"/>
                <w:szCs w:val="20"/>
              </w:rPr>
            </w:pPr>
            <w:r w:rsidRPr="0069011F">
              <w:rPr>
                <w:rFonts w:ascii="Times New Roman" w:eastAsia="Times New Roman" w:hAnsi="Times New Roman" w:cs="Times New Roman"/>
                <w:color w:val="000000"/>
                <w:sz w:val="20"/>
                <w:szCs w:val="20"/>
              </w:rPr>
              <w:t>пісок</w:t>
            </w:r>
            <w:r w:rsidR="0004659B" w:rsidRPr="0069011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1355 м.</w:t>
            </w:r>
            <w:r w:rsidR="009F0BE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куб.;</w:t>
            </w:r>
          </w:p>
          <w:p w14:paraId="4B6A9699" w14:textId="594B4081" w:rsidR="0069011F" w:rsidRPr="0069011F" w:rsidRDefault="0069011F" w:rsidP="0069011F">
            <w:pPr>
              <w:widowControl w:val="0"/>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відсів – 688 м.</w:t>
            </w:r>
            <w:r w:rsidR="009F0BE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куб.</w:t>
            </w:r>
          </w:p>
          <w:p w14:paraId="074669F5" w14:textId="48D6AA23" w:rsidR="005037FC" w:rsidRPr="00BA7F5B" w:rsidRDefault="005037FC" w:rsidP="00D3618E">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Cs/>
                <w:color w:val="000000" w:themeColor="text1"/>
                <w:sz w:val="20"/>
                <w:szCs w:val="20"/>
              </w:rPr>
              <w:t>Місце поставки – м. Рівне, вул. Данила Галицького</w:t>
            </w:r>
            <w:r w:rsidR="00FE38AA">
              <w:rPr>
                <w:rFonts w:ascii="Times New Roman" w:eastAsia="Times New Roman" w:hAnsi="Times New Roman" w:cs="Times New Roman"/>
                <w:iCs/>
                <w:color w:val="000000" w:themeColor="text1"/>
                <w:sz w:val="20"/>
                <w:szCs w:val="20"/>
              </w:rPr>
              <w:t>,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604CC885"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6355E0">
              <w:rPr>
                <w:rFonts w:ascii="Times New Roman" w:eastAsia="Times New Roman" w:hAnsi="Times New Roman" w:cs="Times New Roman"/>
                <w:color w:val="000000" w:themeColor="text1"/>
                <w:sz w:val="20"/>
                <w:szCs w:val="20"/>
              </w:rPr>
              <w:t>25</w:t>
            </w:r>
            <w:r w:rsidRPr="00BA7F5B">
              <w:rPr>
                <w:rFonts w:ascii="Times New Roman" w:eastAsia="Times New Roman" w:hAnsi="Times New Roman" w:cs="Times New Roman"/>
                <w:color w:val="000000" w:themeColor="text1"/>
                <w:sz w:val="20"/>
                <w:szCs w:val="20"/>
              </w:rPr>
              <w:t xml:space="preserve"> грудня  20</w:t>
            </w:r>
            <w:r w:rsidR="00BA7F5B" w:rsidRPr="00BA7F5B">
              <w:rPr>
                <w:rFonts w:ascii="Times New Roman" w:eastAsia="Times New Roman" w:hAnsi="Times New Roman" w:cs="Times New Roman"/>
                <w:color w:val="000000" w:themeColor="text1"/>
                <w:sz w:val="20"/>
                <w:szCs w:val="20"/>
              </w:rPr>
              <w:t>23</w:t>
            </w:r>
            <w:r w:rsidRPr="00BA7F5B">
              <w:rPr>
                <w:rFonts w:ascii="Times New Roman" w:eastAsia="Times New Roman" w:hAnsi="Times New Roman" w:cs="Times New Roman"/>
                <w:color w:val="000000" w:themeColor="text1"/>
                <w:sz w:val="20"/>
                <w:szCs w:val="20"/>
              </w:rPr>
              <w:t xml:space="preserve"> року включно</w:t>
            </w:r>
            <w:r w:rsidR="003D1948">
              <w:rPr>
                <w:rFonts w:ascii="Times New Roman" w:eastAsia="Times New Roman" w:hAnsi="Times New Roman" w:cs="Times New Roman"/>
                <w:color w:val="000000" w:themeColor="text1"/>
                <w:sz w:val="20"/>
                <w:szCs w:val="20"/>
              </w:rPr>
              <w:t>.</w:t>
            </w:r>
            <w:r w:rsidRPr="00BA7F5B">
              <w:rPr>
                <w:rFonts w:ascii="Times New Roman" w:eastAsia="Times New Roman" w:hAnsi="Times New Roman" w:cs="Times New Roman"/>
                <w:color w:val="000000" w:themeColor="text1"/>
                <w:sz w:val="20"/>
                <w:szCs w:val="20"/>
              </w:rPr>
              <w:t xml:space="preserve">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часник зазначає ціну пропозиції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lastRenderedPageBreak/>
              <w:t xml:space="preserve">Уся інформація розміщується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77777777"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2023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 саме в оголошенні про проведення відкритих торгів, таким чином, щоб з </w:t>
            </w:r>
            <w:r w:rsidRPr="00BA7F5B">
              <w:rPr>
                <w:rFonts w:ascii="Times New Roman" w:eastAsia="Times New Roman" w:hAnsi="Times New Roman" w:cs="Times New Roman"/>
                <w:sz w:val="20"/>
                <w:szCs w:val="20"/>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 xml:space="preserve">чотири дні з дати оприлюднення в електронній системі </w:t>
            </w:r>
            <w:proofErr w:type="spellStart"/>
            <w:r w:rsidRPr="00BA7F5B">
              <w:rPr>
                <w:rFonts w:ascii="Times New Roman" w:eastAsia="Times New Roman" w:hAnsi="Times New Roman" w:cs="Times New Roman"/>
                <w:b/>
                <w:sz w:val="20"/>
                <w:szCs w:val="20"/>
                <w:highlight w:val="white"/>
                <w:u w:val="single"/>
              </w:rPr>
              <w:t>закупівель</w:t>
            </w:r>
            <w:proofErr w:type="spellEnd"/>
            <w:r w:rsidRPr="00BA7F5B">
              <w:rPr>
                <w:rFonts w:ascii="Times New Roman" w:eastAsia="Times New Roman" w:hAnsi="Times New Roman" w:cs="Times New Roman"/>
                <w:b/>
                <w:sz w:val="20"/>
                <w:szCs w:val="20"/>
                <w:highlight w:val="white"/>
                <w:u w:val="single"/>
              </w:rPr>
              <w:t xml:space="preserve"> повідомлення про намір укласти договір про закупівлю</w:t>
            </w:r>
            <w:r w:rsidRPr="00BA7F5B">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BA7F5B">
              <w:rPr>
                <w:rFonts w:ascii="Times New Roman" w:eastAsia="Times New Roman" w:hAnsi="Times New Roman" w:cs="Times New Roman"/>
                <w:sz w:val="20"/>
                <w:szCs w:val="20"/>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11.</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A7F5B">
              <w:rPr>
                <w:rFonts w:ascii="Times New Roman" w:eastAsia="Times New Roman" w:hAnsi="Times New Roman" w:cs="Times New Roman"/>
                <w:b/>
                <w:color w:val="000000"/>
                <w:sz w:val="20"/>
                <w:szCs w:val="20"/>
              </w:rPr>
              <w:lastRenderedPageBreak/>
              <w:t xml:space="preserve">документа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BA7F5B">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5" w:name="_heading=h.tyjcwt" w:colFirst="0" w:colLast="0"/>
            <w:bookmarkEnd w:id="5"/>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w:t>
            </w:r>
            <w:r w:rsidRPr="00BA7F5B">
              <w:rPr>
                <w:rFonts w:ascii="Times New Roman" w:eastAsia="Times New Roman" w:hAnsi="Times New Roman" w:cs="Times New Roman"/>
                <w:sz w:val="20"/>
                <w:szCs w:val="20"/>
              </w:rPr>
              <w:lastRenderedPageBreak/>
              <w:t xml:space="preserve">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w:t>
            </w:r>
            <w:proofErr w:type="spellStart"/>
            <w:r w:rsidRPr="00BA7F5B">
              <w:rPr>
                <w:rFonts w:ascii="Times New Roman" w:eastAsia="Times New Roman" w:hAnsi="Times New Roman" w:cs="Times New Roman"/>
                <w:color w:val="000000" w:themeColor="text1"/>
                <w:sz w:val="20"/>
                <w:szCs w:val="20"/>
                <w:highlight w:val="white"/>
              </w:rPr>
              <w:t>закупівель</w:t>
            </w:r>
            <w:proofErr w:type="spellEnd"/>
            <w:r w:rsidRPr="00BA7F5B">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BA7F5B">
              <w:rPr>
                <w:rFonts w:ascii="Times New Roman" w:eastAsia="Times New Roman" w:hAnsi="Times New Roman" w:cs="Times New Roman"/>
                <w:sz w:val="20"/>
                <w:szCs w:val="20"/>
                <w:highlight w:val="white"/>
              </w:rPr>
              <w:lastRenderedPageBreak/>
              <w:t xml:space="preserve">електронних реєстрах, доступ до яких є вільним, та/або може бути отримана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69727278"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FF289E">
              <w:rPr>
                <w:rFonts w:ascii="Times New Roman" w:eastAsia="Times New Roman" w:hAnsi="Times New Roman" w:cs="Times New Roman"/>
                <w:b/>
                <w:color w:val="000000" w:themeColor="text1"/>
                <w:sz w:val="20"/>
                <w:szCs w:val="20"/>
              </w:rPr>
              <w:t>2</w:t>
            </w:r>
            <w:r w:rsidR="0069011F">
              <w:rPr>
                <w:rFonts w:ascii="Times New Roman" w:eastAsia="Times New Roman" w:hAnsi="Times New Roman" w:cs="Times New Roman"/>
                <w:b/>
                <w:color w:val="000000" w:themeColor="text1"/>
                <w:sz w:val="20"/>
                <w:szCs w:val="20"/>
              </w:rPr>
              <w:t xml:space="preserve">3 </w:t>
            </w:r>
            <w:r w:rsidR="00282776">
              <w:rPr>
                <w:rFonts w:ascii="Times New Roman" w:eastAsia="Times New Roman" w:hAnsi="Times New Roman" w:cs="Times New Roman"/>
                <w:b/>
                <w:color w:val="000000" w:themeColor="text1"/>
                <w:sz w:val="20"/>
                <w:szCs w:val="20"/>
              </w:rPr>
              <w:t xml:space="preserve">листопада </w:t>
            </w:r>
            <w:r w:rsidRPr="005037FC">
              <w:rPr>
                <w:rFonts w:ascii="Times New Roman" w:eastAsia="Times New Roman" w:hAnsi="Times New Roman" w:cs="Times New Roman"/>
                <w:b/>
                <w:color w:val="000000" w:themeColor="text1"/>
                <w:sz w:val="20"/>
                <w:szCs w:val="20"/>
              </w:rPr>
              <w:t xml:space="preserve"> 20</w:t>
            </w:r>
            <w:r w:rsidR="002B7B92" w:rsidRPr="005037FC">
              <w:rPr>
                <w:rFonts w:ascii="Times New Roman" w:eastAsia="Times New Roman" w:hAnsi="Times New Roman" w:cs="Times New Roman"/>
                <w:b/>
                <w:color w:val="000000" w:themeColor="text1"/>
                <w:sz w:val="20"/>
                <w:szCs w:val="20"/>
              </w:rPr>
              <w:t xml:space="preserve">23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 xml:space="preserve">Електронна система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77777777" w:rsidR="00E422AD" w:rsidRPr="00BA7F5B" w:rsidRDefault="0004659B">
            <w:pPr>
              <w:widowControl w:val="0"/>
              <w:jc w:val="both"/>
              <w:rPr>
                <w:rFonts w:ascii="Times New Roman" w:eastAsia="Times New Roman" w:hAnsi="Times New Roman" w:cs="Times New Roman"/>
                <w:i/>
                <w:sz w:val="20"/>
                <w:szCs w:val="20"/>
              </w:rPr>
            </w:pPr>
            <w:r w:rsidRPr="002B7B92">
              <w:rPr>
                <w:rFonts w:ascii="Times New Roman" w:eastAsia="Times New Roman" w:hAnsi="Times New Roman" w:cs="Times New Roman"/>
                <w:color w:val="000000"/>
                <w:sz w:val="20"/>
                <w:szCs w:val="20"/>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2B7B92">
              <w:rPr>
                <w:rFonts w:ascii="Times New Roman" w:eastAsia="Times New Roman" w:hAnsi="Times New Roman" w:cs="Times New Roman"/>
                <w:b/>
                <w:i/>
                <w:color w:val="000000"/>
                <w:sz w:val="20"/>
                <w:szCs w:val="20"/>
              </w:rPr>
              <w:t xml:space="preserve">Додатка 2 </w:t>
            </w:r>
            <w:r w:rsidRPr="002B7B92">
              <w:rPr>
                <w:rFonts w:ascii="Times New Roman" w:eastAsia="Times New Roman" w:hAnsi="Times New Roman" w:cs="Times New Roman"/>
                <w:color w:val="000000"/>
                <w:sz w:val="20"/>
                <w:szCs w:val="20"/>
              </w:rPr>
              <w:t> тендерної документації.</w:t>
            </w: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w:t>
            </w:r>
            <w:r w:rsidRPr="00BA7F5B">
              <w:rPr>
                <w:rFonts w:ascii="Times New Roman" w:eastAsia="Times New Roman" w:hAnsi="Times New Roman" w:cs="Times New Roman"/>
                <w:sz w:val="20"/>
                <w:szCs w:val="20"/>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 xml:space="preserve">Відкриті торги автоматично відміняються електронною системою </w:t>
            </w:r>
            <w:proofErr w:type="spellStart"/>
            <w:r w:rsidRPr="00BA7F5B">
              <w:rPr>
                <w:rFonts w:ascii="Times New Roman" w:eastAsia="Times New Roman" w:hAnsi="Times New Roman" w:cs="Times New Roman"/>
                <w:b/>
                <w:i/>
                <w:sz w:val="20"/>
                <w:szCs w:val="20"/>
              </w:rPr>
              <w:t>закупівель</w:t>
            </w:r>
            <w:proofErr w:type="spellEnd"/>
            <w:r w:rsidRPr="00BA7F5B">
              <w:rPr>
                <w:rFonts w:ascii="Times New Roman" w:eastAsia="Times New Roman" w:hAnsi="Times New Roman" w:cs="Times New Roman"/>
                <w:b/>
                <w:i/>
                <w:sz w:val="20"/>
                <w:szCs w:val="20"/>
              </w:rPr>
              <w:t xml:space="preserve">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6" w:name="_heading=h.gjdgxs" w:colFirst="0" w:colLast="0"/>
            <w:bookmarkEnd w:id="6"/>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49D7AE8E" w:rsidR="002B7B92" w:rsidRDefault="002B7B92">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25AFE84F"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1906D6">
        <w:rPr>
          <w:rFonts w:ascii="Times New Roman" w:eastAsia="Times New Roman" w:hAnsi="Times New Roman" w:cs="Times New Roman"/>
          <w:i/>
          <w:color w:val="000000" w:themeColor="text1"/>
          <w:sz w:val="20"/>
          <w:szCs w:val="20"/>
        </w:rPr>
        <w:t>закупівель</w:t>
      </w:r>
      <w:proofErr w:type="spellEnd"/>
      <w:r w:rsidRPr="001906D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w:t>
      </w:r>
      <w:r w:rsidRPr="001906D6">
        <w:rPr>
          <w:rFonts w:ascii="Times New Roman" w:eastAsia="Times New Roman" w:hAnsi="Times New Roman" w:cs="Times New Roman"/>
          <w:color w:val="000000" w:themeColor="text1"/>
          <w:sz w:val="20"/>
          <w:szCs w:val="20"/>
          <w:highlight w:val="white"/>
        </w:rPr>
        <w:lastRenderedPageBreak/>
        <w:t xml:space="preserve">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8421DA" w14:textId="7B136DE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30E0066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5FEEC9C3"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6BF2C5B" w14:textId="4F159C3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B15C451" w14:textId="5D1919F6"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FCBAD4C" w14:textId="73C42BBA" w:rsidR="001906D6" w:rsidRDefault="001906D6" w:rsidP="0069011F">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AEA9278"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7401EF9D"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09525B11" w14:textId="20BC618F" w:rsidR="001906D6" w:rsidRDefault="001906D6" w:rsidP="001906D6">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77C468F" w14:textId="1B38BB43" w:rsidR="001906D6" w:rsidRDefault="00C306F1" w:rsidP="00C306F1">
      <w:pPr>
        <w:spacing w:before="240" w:after="0" w:line="240" w:lineRule="auto"/>
        <w:jc w:val="center"/>
        <w:rPr>
          <w:rFonts w:ascii="Times New Roman" w:eastAsia="Times New Roman" w:hAnsi="Times New Roman" w:cs="Times New Roman"/>
          <w:b/>
          <w:i/>
          <w:color w:val="000000"/>
          <w:sz w:val="20"/>
          <w:szCs w:val="20"/>
        </w:rPr>
      </w:pPr>
      <w:r w:rsidRPr="00C306F1">
        <w:rPr>
          <w:rFonts w:ascii="Times New Roman" w:eastAsia="Times New Roman" w:hAnsi="Times New Roman" w:cs="Times New Roman"/>
          <w:b/>
          <w:i/>
          <w:color w:val="000000"/>
          <w:sz w:val="20"/>
          <w:szCs w:val="20"/>
        </w:rPr>
        <w:t>Пісок, відсів (код ДК 021:2015 14210000-6 – Гравій, пісок, щебінь і наповнювачі)</w:t>
      </w:r>
    </w:p>
    <w:p w14:paraId="7A474541" w14:textId="77777777" w:rsidR="00C306F1" w:rsidRPr="001906D6" w:rsidRDefault="00C306F1" w:rsidP="00C306F1">
      <w:pPr>
        <w:spacing w:before="240" w:after="0" w:line="240" w:lineRule="auto"/>
        <w:jc w:val="center"/>
        <w:rPr>
          <w:rFonts w:ascii="Times New Roman" w:eastAsia="Times New Roman" w:hAnsi="Times New Roman" w:cs="Times New Roman"/>
          <w:b/>
          <w:i/>
          <w:color w:val="000000"/>
          <w:sz w:val="20"/>
          <w:szCs w:val="20"/>
        </w:rPr>
      </w:pPr>
    </w:p>
    <w:p w14:paraId="35ABBC4F" w14:textId="60DCA4DD" w:rsidR="001906D6" w:rsidRDefault="001906D6" w:rsidP="001906D6">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0BADAC6C" w14:textId="77777777" w:rsidR="00C306F1" w:rsidRPr="001906D6" w:rsidRDefault="00C306F1" w:rsidP="001906D6">
      <w:pPr>
        <w:spacing w:after="0" w:line="240" w:lineRule="auto"/>
        <w:jc w:val="center"/>
        <w:rPr>
          <w:rFonts w:ascii="Times New Roman" w:eastAsia="Times New Roman" w:hAnsi="Times New Roman" w:cs="Times New Roman"/>
          <w:b/>
          <w:i/>
          <w:sz w:val="20"/>
          <w:szCs w:val="20"/>
        </w:rPr>
      </w:pPr>
    </w:p>
    <w:p w14:paraId="274675DF" w14:textId="336CC167" w:rsidR="003460B5" w:rsidRPr="008E4085" w:rsidRDefault="003460B5" w:rsidP="003460B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E4085">
        <w:rPr>
          <w:rFonts w:ascii="Times New Roman" w:eastAsia="Times New Roman" w:hAnsi="Times New Roman" w:cs="Times New Roman"/>
          <w:b/>
          <w:bCs/>
          <w:sz w:val="20"/>
          <w:szCs w:val="20"/>
          <w:u w:val="single"/>
          <w:lang w:eastAsia="zh-CN"/>
        </w:rPr>
        <w:t>Обсяг предмету закупівлі.</w:t>
      </w:r>
    </w:p>
    <w:p w14:paraId="5524BD3C" w14:textId="77777777" w:rsidR="003460B5" w:rsidRPr="008E4085" w:rsidRDefault="003460B5" w:rsidP="003460B5">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46"/>
        <w:gridCol w:w="1275"/>
      </w:tblGrid>
      <w:tr w:rsidR="003460B5" w:rsidRPr="008E4085" w14:paraId="0CF98BFC" w14:textId="77777777" w:rsidTr="00D569D6">
        <w:tc>
          <w:tcPr>
            <w:tcW w:w="813" w:type="dxa"/>
            <w:shd w:val="clear" w:color="auto" w:fill="auto"/>
          </w:tcPr>
          <w:p w14:paraId="7D7C7CBC" w14:textId="77777777"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№п/п</w:t>
            </w:r>
          </w:p>
        </w:tc>
        <w:tc>
          <w:tcPr>
            <w:tcW w:w="7546" w:type="dxa"/>
            <w:shd w:val="clear" w:color="auto" w:fill="auto"/>
          </w:tcPr>
          <w:p w14:paraId="2BCA459D" w14:textId="77777777"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Назва</w:t>
            </w:r>
          </w:p>
        </w:tc>
        <w:tc>
          <w:tcPr>
            <w:tcW w:w="1275" w:type="dxa"/>
            <w:shd w:val="clear" w:color="auto" w:fill="auto"/>
          </w:tcPr>
          <w:p w14:paraId="09DD61B1" w14:textId="59F8EACE"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 xml:space="preserve">Кількість, </w:t>
            </w:r>
            <w:r w:rsidR="00D3618E">
              <w:rPr>
                <w:rFonts w:ascii="Times New Roman" w:eastAsia="Times New Roman" w:hAnsi="Times New Roman" w:cs="Times New Roman"/>
                <w:sz w:val="20"/>
                <w:szCs w:val="20"/>
                <w:lang w:eastAsia="zh-CN"/>
              </w:rPr>
              <w:t>метри кубічні</w:t>
            </w:r>
          </w:p>
        </w:tc>
      </w:tr>
      <w:tr w:rsidR="003460B5" w:rsidRPr="008E4085" w14:paraId="4EF66D96" w14:textId="77777777" w:rsidTr="00D569D6">
        <w:tc>
          <w:tcPr>
            <w:tcW w:w="813" w:type="dxa"/>
            <w:shd w:val="clear" w:color="auto" w:fill="auto"/>
          </w:tcPr>
          <w:p w14:paraId="5C7BFD5D" w14:textId="77777777" w:rsidR="003460B5" w:rsidRPr="008E4085" w:rsidRDefault="003460B5" w:rsidP="003460B5">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7546" w:type="dxa"/>
            <w:shd w:val="clear" w:color="auto" w:fill="auto"/>
            <w:vAlign w:val="center"/>
          </w:tcPr>
          <w:p w14:paraId="1BB3C92E" w14:textId="0D839637" w:rsidR="003460B5" w:rsidRPr="008E4085" w:rsidRDefault="003D1948" w:rsidP="004F57A6">
            <w:pPr>
              <w:widowControl w:val="0"/>
              <w:spacing w:after="0"/>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Пісок</w:t>
            </w:r>
          </w:p>
        </w:tc>
        <w:tc>
          <w:tcPr>
            <w:tcW w:w="1275" w:type="dxa"/>
            <w:shd w:val="clear" w:color="auto" w:fill="auto"/>
            <w:vAlign w:val="center"/>
          </w:tcPr>
          <w:p w14:paraId="5B39AEDE" w14:textId="6D95AE76" w:rsidR="003460B5" w:rsidRPr="008E4085" w:rsidRDefault="0069011F" w:rsidP="00D569D6">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1355</w:t>
            </w:r>
          </w:p>
        </w:tc>
      </w:tr>
      <w:tr w:rsidR="003D1948" w:rsidRPr="008E4085" w14:paraId="5268B5E2" w14:textId="77777777" w:rsidTr="00D569D6">
        <w:tc>
          <w:tcPr>
            <w:tcW w:w="813" w:type="dxa"/>
            <w:shd w:val="clear" w:color="auto" w:fill="auto"/>
          </w:tcPr>
          <w:p w14:paraId="0D321A9A" w14:textId="77777777" w:rsidR="003D1948" w:rsidRPr="008E4085" w:rsidRDefault="003D1948" w:rsidP="003460B5">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7546" w:type="dxa"/>
            <w:shd w:val="clear" w:color="auto" w:fill="auto"/>
            <w:vAlign w:val="center"/>
          </w:tcPr>
          <w:p w14:paraId="56334BC7" w14:textId="266F57B5" w:rsidR="003D1948" w:rsidRDefault="003D1948" w:rsidP="004F57A6">
            <w:pPr>
              <w:widowControl w:val="0"/>
              <w:spacing w:after="0"/>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Відсів</w:t>
            </w:r>
          </w:p>
        </w:tc>
        <w:tc>
          <w:tcPr>
            <w:tcW w:w="1275" w:type="dxa"/>
            <w:shd w:val="clear" w:color="auto" w:fill="auto"/>
            <w:vAlign w:val="center"/>
          </w:tcPr>
          <w:p w14:paraId="08EEF63A" w14:textId="48567DA6" w:rsidR="003D1948" w:rsidRPr="008E4085" w:rsidRDefault="0069011F" w:rsidP="00D569D6">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688</w:t>
            </w:r>
          </w:p>
        </w:tc>
      </w:tr>
    </w:tbl>
    <w:p w14:paraId="594C1CFA" w14:textId="77777777" w:rsidR="003460B5" w:rsidRPr="008E4085" w:rsidRDefault="003460B5" w:rsidP="003460B5">
      <w:pPr>
        <w:widowControl w:val="0"/>
        <w:suppressAutoHyphens/>
        <w:spacing w:after="0" w:line="240" w:lineRule="auto"/>
        <w:jc w:val="both"/>
        <w:rPr>
          <w:rFonts w:ascii="Times New Roman" w:eastAsia="Times New Roman" w:hAnsi="Times New Roman" w:cs="Times New Roman"/>
          <w:b/>
          <w:bCs/>
          <w:sz w:val="20"/>
          <w:szCs w:val="20"/>
          <w:u w:val="single"/>
        </w:rPr>
      </w:pPr>
    </w:p>
    <w:p w14:paraId="58008413" w14:textId="24DFCD2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bookmarkStart w:id="8" w:name="_Hlk137544329"/>
      <w:r w:rsidRPr="008E4085">
        <w:rPr>
          <w:rFonts w:ascii="Times New Roman" w:eastAsia="Times New Roman" w:hAnsi="Times New Roman" w:cs="Times New Roman"/>
          <w:b/>
          <w:bCs/>
          <w:sz w:val="20"/>
          <w:szCs w:val="20"/>
          <w:u w:val="single"/>
        </w:rPr>
        <w:t xml:space="preserve">Строк поставки </w:t>
      </w:r>
    </w:p>
    <w:p w14:paraId="26D7C444" w14:textId="76F547F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sidR="00FF289E">
        <w:rPr>
          <w:rFonts w:ascii="Times New Roman" w:eastAsia="Times New Roman" w:hAnsi="Times New Roman" w:cs="Times New Roman"/>
          <w:bCs/>
          <w:sz w:val="20"/>
          <w:szCs w:val="20"/>
        </w:rPr>
        <w:t>25</w:t>
      </w:r>
      <w:r w:rsidRPr="008E4085">
        <w:rPr>
          <w:rFonts w:ascii="Times New Roman" w:eastAsia="Times New Roman" w:hAnsi="Times New Roman" w:cs="Times New Roman"/>
          <w:bCs/>
          <w:sz w:val="20"/>
          <w:szCs w:val="20"/>
        </w:rPr>
        <w:t>.12.2023 року, згідно 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та </w:t>
      </w:r>
      <w:r w:rsidRPr="008E4085">
        <w:rPr>
          <w:rFonts w:ascii="Times New Roman" w:eastAsia="Times New Roman" w:hAnsi="Times New Roman" w:cs="Times New Roman"/>
          <w:bCs/>
          <w:sz w:val="20"/>
          <w:szCs w:val="20"/>
        </w:rPr>
        <w:t xml:space="preserve"> час</w:t>
      </w:r>
      <w:r>
        <w:rPr>
          <w:rFonts w:ascii="Times New Roman" w:eastAsia="Times New Roman" w:hAnsi="Times New Roman" w:cs="Times New Roman"/>
          <w:bCs/>
          <w:sz w:val="20"/>
          <w:szCs w:val="20"/>
        </w:rPr>
        <w:t xml:space="preserve"> поставки</w:t>
      </w:r>
      <w:r w:rsidRPr="008E4085">
        <w:rPr>
          <w:rFonts w:ascii="Times New Roman" w:eastAsia="Times New Roman" w:hAnsi="Times New Roman" w:cs="Times New Roman"/>
          <w:bCs/>
          <w:sz w:val="20"/>
          <w:szCs w:val="20"/>
        </w:rPr>
        <w:t xml:space="preserve">. Заявка Замовника подається не пізніше ніж за </w:t>
      </w:r>
      <w:r w:rsidR="00C306F1">
        <w:rPr>
          <w:rFonts w:ascii="Times New Roman" w:eastAsia="Times New Roman" w:hAnsi="Times New Roman" w:cs="Times New Roman"/>
          <w:bCs/>
          <w:sz w:val="20"/>
          <w:szCs w:val="20"/>
        </w:rPr>
        <w:t>2</w:t>
      </w:r>
      <w:r w:rsidRPr="008E4085">
        <w:rPr>
          <w:rFonts w:ascii="Times New Roman" w:eastAsia="Times New Roman" w:hAnsi="Times New Roman" w:cs="Times New Roman"/>
          <w:bCs/>
          <w:sz w:val="20"/>
          <w:szCs w:val="20"/>
        </w:rPr>
        <w:t xml:space="preserve"> робочих днів до дати поставки вказаної в заявці. Заявка може бути направлена Замовником у електронному вигляді (у форматі </w:t>
      </w:r>
      <w:proofErr w:type="spellStart"/>
      <w:r w:rsidRPr="008E4085">
        <w:rPr>
          <w:rFonts w:ascii="Times New Roman" w:eastAsia="Times New Roman" w:hAnsi="Times New Roman" w:cs="Times New Roman"/>
          <w:bCs/>
          <w:sz w:val="20"/>
          <w:szCs w:val="20"/>
        </w:rPr>
        <w:t>pdf</w:t>
      </w:r>
      <w:proofErr w:type="spellEnd"/>
      <w:r w:rsidRPr="008E4085">
        <w:rPr>
          <w:rFonts w:ascii="Times New Roman" w:eastAsia="Times New Roman" w:hAnsi="Times New Roman" w:cs="Times New Roman"/>
          <w:bCs/>
          <w:sz w:val="20"/>
          <w:szCs w:val="20"/>
        </w:rPr>
        <w:t>) на електронну адресу Учасника.</w:t>
      </w:r>
    </w:p>
    <w:p w14:paraId="3E9125BE" w14:textId="4BC532C1"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Місце та умови поставки </w:t>
      </w:r>
    </w:p>
    <w:p w14:paraId="6161B6F9" w14:textId="059D1EE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За допомогою служби доставки, погодженої з Покупцем, або власним транспортом Постачальника, за рахунок Постачальника. Постачання </w:t>
      </w:r>
      <w:r w:rsidRPr="003460B5">
        <w:rPr>
          <w:rFonts w:ascii="Times New Roman" w:eastAsia="Times New Roman" w:hAnsi="Times New Roman" w:cs="Times New Roman"/>
          <w:bCs/>
          <w:sz w:val="20"/>
          <w:szCs w:val="20"/>
        </w:rPr>
        <w:t xml:space="preserve">за </w:t>
      </w:r>
      <w:proofErr w:type="spellStart"/>
      <w:r w:rsidRPr="003460B5">
        <w:rPr>
          <w:rFonts w:ascii="Times New Roman" w:eastAsia="Times New Roman" w:hAnsi="Times New Roman" w:cs="Times New Roman"/>
          <w:bCs/>
          <w:sz w:val="20"/>
          <w:szCs w:val="20"/>
        </w:rPr>
        <w:t>адресою</w:t>
      </w:r>
      <w:proofErr w:type="spellEnd"/>
      <w:r w:rsidRPr="003460B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Cs/>
          <w:sz w:val="20"/>
          <w:szCs w:val="20"/>
        </w:rPr>
        <w:t>Замовника: м. Рівне, вул. Данила Галицького, 25.</w:t>
      </w:r>
    </w:p>
    <w:p w14:paraId="7CB55D33" w14:textId="7777777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u w:val="single"/>
        </w:rPr>
      </w:pPr>
      <w:r w:rsidRPr="008E408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54C55933" w14:textId="7EB86B90" w:rsidR="003460B5" w:rsidRDefault="003460B5" w:rsidP="003460B5">
      <w:pPr>
        <w:suppressAutoHyphens/>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w:t>
      </w:r>
      <w:r w:rsidRPr="00951DE4">
        <w:rPr>
          <w:rFonts w:ascii="Times New Roman" w:eastAsia="Times New Roman" w:hAnsi="Times New Roman" w:cs="Times New Roman"/>
          <w:sz w:val="20"/>
          <w:szCs w:val="20"/>
        </w:rPr>
        <w:t>В</w:t>
      </w:r>
      <w:r w:rsidRPr="008E4085">
        <w:rPr>
          <w:rFonts w:ascii="Times New Roman" w:eastAsia="Times New Roman" w:hAnsi="Times New Roman" w:cs="Times New Roman"/>
          <w:sz w:val="20"/>
          <w:szCs w:val="20"/>
        </w:rPr>
        <w:t xml:space="preserve"> разі виявлення неналежної якості, Товар буде повернуто Учаснику з подальшою заміною на якісний Товар. </w:t>
      </w:r>
    </w:p>
    <w:p w14:paraId="377D77F6" w14:textId="77777777" w:rsidR="003460B5" w:rsidRPr="008E4085" w:rsidRDefault="003460B5" w:rsidP="003460B5">
      <w:pPr>
        <w:suppressAutoHyphens/>
        <w:spacing w:after="0" w:line="240" w:lineRule="auto"/>
        <w:jc w:val="both"/>
        <w:rPr>
          <w:rFonts w:ascii="Times New Roman" w:eastAsia="Times New Roman" w:hAnsi="Times New Roman" w:cs="Times New Roman"/>
          <w:sz w:val="20"/>
          <w:szCs w:val="20"/>
        </w:rPr>
      </w:pPr>
    </w:p>
    <w:p w14:paraId="31FBD41E" w14:textId="77777777" w:rsidR="003460B5" w:rsidRPr="008E4085" w:rsidRDefault="003460B5" w:rsidP="003460B5">
      <w:pPr>
        <w:widowControl w:val="0"/>
        <w:spacing w:after="0"/>
        <w:ind w:right="120"/>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25054D87" w14:textId="77777777" w:rsidR="003460B5" w:rsidRPr="008E4085" w:rsidRDefault="003460B5" w:rsidP="003460B5">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18C07095" w14:textId="5DFB7680" w:rsidR="00C306F1" w:rsidRPr="00C306F1" w:rsidRDefault="003460B5" w:rsidP="00C306F1">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bookmarkEnd w:id="8"/>
    </w:p>
    <w:tbl>
      <w:tblPr>
        <w:tblW w:w="10380" w:type="dxa"/>
        <w:tblInd w:w="-557" w:type="dxa"/>
        <w:tblLayout w:type="fixed"/>
        <w:tblCellMar>
          <w:left w:w="10" w:type="dxa"/>
          <w:right w:w="10" w:type="dxa"/>
        </w:tblCellMar>
        <w:tblLook w:val="04A0" w:firstRow="1" w:lastRow="0" w:firstColumn="1" w:lastColumn="0" w:noHBand="0" w:noVBand="1"/>
      </w:tblPr>
      <w:tblGrid>
        <w:gridCol w:w="1985"/>
        <w:gridCol w:w="5103"/>
        <w:gridCol w:w="3292"/>
      </w:tblGrid>
      <w:tr w:rsidR="00C306F1" w14:paraId="634260C2" w14:textId="77777777" w:rsidTr="00C306F1">
        <w:trPr>
          <w:trHeight w:val="145"/>
        </w:trPr>
        <w:tc>
          <w:tcPr>
            <w:tcW w:w="1985" w:type="dxa"/>
            <w:tcBorders>
              <w:top w:val="single" w:sz="4" w:space="0" w:color="000000"/>
              <w:left w:val="single" w:sz="4" w:space="0" w:color="000000"/>
              <w:bottom w:val="single" w:sz="4" w:space="0" w:color="auto"/>
              <w:right w:val="nil"/>
            </w:tcBorders>
            <w:vAlign w:val="center"/>
            <w:hideMark/>
          </w:tcPr>
          <w:p w14:paraId="29ABC611" w14:textId="77777777" w:rsidR="00C306F1" w:rsidRPr="00C306F1" w:rsidRDefault="00C306F1">
            <w:pPr>
              <w:snapToGrid w:val="0"/>
              <w:spacing w:after="0" w:line="240" w:lineRule="auto"/>
              <w:jc w:val="center"/>
              <w:rPr>
                <w:rFonts w:ascii="Times New Roman" w:hAnsi="Times New Roman" w:cs="Times New Roman"/>
                <w:sz w:val="20"/>
                <w:szCs w:val="20"/>
                <w:lang w:eastAsia="en-US"/>
              </w:rPr>
            </w:pPr>
            <w:r w:rsidRPr="00C306F1">
              <w:rPr>
                <w:rFonts w:ascii="Times New Roman" w:hAnsi="Times New Roman" w:cs="Times New Roman"/>
                <w:sz w:val="20"/>
                <w:szCs w:val="20"/>
                <w:lang w:eastAsia="en-US"/>
              </w:rPr>
              <w:t>Найменування товару</w:t>
            </w:r>
          </w:p>
        </w:tc>
        <w:tc>
          <w:tcPr>
            <w:tcW w:w="5103" w:type="dxa"/>
            <w:tcBorders>
              <w:top w:val="single" w:sz="4" w:space="0" w:color="000000"/>
              <w:left w:val="single" w:sz="4" w:space="0" w:color="000000"/>
              <w:bottom w:val="single" w:sz="4" w:space="0" w:color="auto"/>
              <w:right w:val="single" w:sz="4" w:space="0" w:color="000000"/>
            </w:tcBorders>
            <w:vAlign w:val="center"/>
            <w:hideMark/>
          </w:tcPr>
          <w:p w14:paraId="3DDA4E05" w14:textId="77777777" w:rsidR="00C306F1" w:rsidRPr="00C306F1" w:rsidRDefault="00C306F1">
            <w:pPr>
              <w:snapToGrid w:val="0"/>
              <w:spacing w:after="0" w:line="240" w:lineRule="auto"/>
              <w:jc w:val="center"/>
              <w:rPr>
                <w:rFonts w:ascii="Times New Roman" w:hAnsi="Times New Roman" w:cs="Times New Roman"/>
                <w:sz w:val="20"/>
                <w:szCs w:val="20"/>
                <w:lang w:eastAsia="en-US"/>
              </w:rPr>
            </w:pPr>
            <w:r w:rsidRPr="00C306F1">
              <w:rPr>
                <w:rFonts w:ascii="Times New Roman" w:hAnsi="Times New Roman" w:cs="Times New Roman"/>
                <w:sz w:val="20"/>
                <w:szCs w:val="20"/>
                <w:lang w:eastAsia="en-US"/>
              </w:rPr>
              <w:t>Технічні та якісні характеристики, відповідність нормативним вимогам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7AEFF978" w14:textId="4CABCDB1" w:rsidR="00C306F1" w:rsidRPr="00C306F1" w:rsidRDefault="0069011F" w:rsidP="00127DDD">
            <w:pPr>
              <w:snapToGrid w:val="0"/>
              <w:spacing w:after="0" w:line="240" w:lineRule="auto"/>
              <w:rPr>
                <w:rFonts w:ascii="Times New Roman" w:hAnsi="Times New Roman" w:cs="Times New Roman"/>
                <w:sz w:val="20"/>
                <w:szCs w:val="20"/>
                <w:lang w:eastAsia="en-US"/>
              </w:rPr>
            </w:pPr>
            <w:r w:rsidRPr="008E4085">
              <w:rPr>
                <w:rFonts w:ascii="Times New Roman" w:hAnsi="Times New Roman" w:cs="Times New Roman"/>
                <w:sz w:val="20"/>
                <w:szCs w:val="20"/>
                <w:lang w:val="ru-RU" w:eastAsia="en-US"/>
              </w:rPr>
              <w:t xml:space="preserve"> </w:t>
            </w:r>
            <w:r w:rsidR="00127DDD">
              <w:rPr>
                <w:rFonts w:ascii="Times New Roman" w:hAnsi="Times New Roman" w:cs="Times New Roman"/>
                <w:sz w:val="20"/>
                <w:szCs w:val="20"/>
                <w:lang w:eastAsia="en-US"/>
              </w:rPr>
              <w:t>Т</w:t>
            </w:r>
            <w:r w:rsidRPr="008E4085">
              <w:rPr>
                <w:rFonts w:ascii="Times New Roman" w:hAnsi="Times New Roman" w:cs="Times New Roman"/>
                <w:sz w:val="20"/>
                <w:szCs w:val="20"/>
                <w:lang w:eastAsia="en-US"/>
              </w:rPr>
              <w:t>ехнічні та якісні характеристики, відповідність нормативним вимогам</w:t>
            </w:r>
            <w:r>
              <w:rPr>
                <w:rFonts w:ascii="Times New Roman" w:hAnsi="Times New Roman" w:cs="Times New Roman"/>
                <w:sz w:val="20"/>
                <w:szCs w:val="20"/>
                <w:lang w:eastAsia="en-US"/>
              </w:rPr>
              <w:t xml:space="preserve">, </w:t>
            </w:r>
            <w:r w:rsidRPr="00951DE4">
              <w:rPr>
                <w:rFonts w:ascii="Times New Roman" w:hAnsi="Times New Roman" w:cs="Times New Roman"/>
                <w:b/>
                <w:bCs/>
                <w:sz w:val="20"/>
                <w:szCs w:val="20"/>
                <w:lang w:eastAsia="en-US"/>
              </w:rPr>
              <w:t>країна походження</w:t>
            </w:r>
            <w:r w:rsidRPr="00951DE4">
              <w:rPr>
                <w:rFonts w:ascii="Times New Roman" w:eastAsia="Droid Sans Fallback" w:hAnsi="Times New Roman" w:cs="Times New Roman"/>
                <w:b/>
                <w:bCs/>
                <w:kern w:val="2"/>
                <w:sz w:val="20"/>
                <w:szCs w:val="20"/>
                <w:lang w:eastAsia="zh-CN" w:bidi="hi-IN"/>
              </w:rPr>
              <w:t xml:space="preserve"> товару</w:t>
            </w:r>
            <w:r w:rsidRPr="008E4085">
              <w:rPr>
                <w:rFonts w:ascii="Times New Roman" w:eastAsia="Droid Sans Fallback" w:hAnsi="Times New Roman" w:cs="Times New Roman"/>
                <w:bCs/>
                <w:kern w:val="2"/>
                <w:sz w:val="20"/>
                <w:szCs w:val="20"/>
                <w:lang w:eastAsia="zh-CN" w:bidi="hi-IN"/>
              </w:rPr>
              <w:t>, що пропонується</w:t>
            </w:r>
          </w:p>
        </w:tc>
      </w:tr>
      <w:tr w:rsidR="00C306F1" w14:paraId="7D4CC07B" w14:textId="77777777" w:rsidTr="00C306F1">
        <w:trPr>
          <w:trHeight w:val="823"/>
        </w:trPr>
        <w:tc>
          <w:tcPr>
            <w:tcW w:w="1985" w:type="dxa"/>
            <w:tcBorders>
              <w:top w:val="single" w:sz="4" w:space="0" w:color="auto"/>
              <w:left w:val="single" w:sz="4" w:space="0" w:color="auto"/>
              <w:bottom w:val="single" w:sz="4" w:space="0" w:color="auto"/>
              <w:right w:val="single" w:sz="4" w:space="0" w:color="auto"/>
            </w:tcBorders>
            <w:hideMark/>
          </w:tcPr>
          <w:p w14:paraId="0486EF89" w14:textId="77777777" w:rsidR="00C306F1" w:rsidRPr="00C306F1" w:rsidRDefault="00C306F1">
            <w:pPr>
              <w:spacing w:after="0" w:line="240" w:lineRule="auto"/>
              <w:rPr>
                <w:rFonts w:ascii="Times New Roman" w:eastAsia="Times New Roman" w:hAnsi="Times New Roman" w:cs="Times New Roman"/>
                <w:color w:val="000000"/>
                <w:sz w:val="20"/>
                <w:szCs w:val="20"/>
                <w:lang w:eastAsia="en-US"/>
              </w:rPr>
            </w:pPr>
            <w:r w:rsidRPr="00C306F1">
              <w:rPr>
                <w:rFonts w:ascii="Times New Roman" w:hAnsi="Times New Roman" w:cs="Times New Roman"/>
                <w:sz w:val="20"/>
                <w:szCs w:val="20"/>
              </w:rPr>
              <w:t xml:space="preserve">Пісок </w:t>
            </w:r>
          </w:p>
        </w:tc>
        <w:tc>
          <w:tcPr>
            <w:tcW w:w="5103" w:type="dxa"/>
            <w:tcBorders>
              <w:top w:val="single" w:sz="4" w:space="0" w:color="auto"/>
              <w:left w:val="single" w:sz="4" w:space="0" w:color="auto"/>
              <w:bottom w:val="single" w:sz="4" w:space="0" w:color="auto"/>
              <w:right w:val="single" w:sz="4" w:space="0" w:color="auto"/>
            </w:tcBorders>
            <w:hideMark/>
          </w:tcPr>
          <w:p w14:paraId="47A01450" w14:textId="77777777" w:rsidR="00C306F1" w:rsidRPr="00C306F1" w:rsidRDefault="00C306F1">
            <w:pPr>
              <w:snapToGrid w:val="0"/>
              <w:spacing w:after="0" w:line="240" w:lineRule="auto"/>
              <w:rPr>
                <w:rFonts w:ascii="Times New Roman" w:eastAsia="Times New Roman" w:hAnsi="Times New Roman" w:cs="Times New Roman"/>
                <w:color w:val="000000"/>
                <w:sz w:val="20"/>
                <w:szCs w:val="20"/>
                <w:lang w:eastAsia="en-US"/>
              </w:rPr>
            </w:pPr>
            <w:r w:rsidRPr="00C306F1">
              <w:rPr>
                <w:rFonts w:ascii="Times New Roman" w:eastAsia="Times New Roman" w:hAnsi="Times New Roman" w:cs="Times New Roman"/>
                <w:color w:val="000000"/>
                <w:sz w:val="20"/>
                <w:szCs w:val="20"/>
                <w:lang w:eastAsia="en-US"/>
              </w:rPr>
              <w:t>Повинен відповідати вимогам ДСТУ Б В.2.7-32-95 Пісок щільний природний для будівельних матеріалів, виробів, конструкцій і робіт</w:t>
            </w:r>
          </w:p>
        </w:tc>
        <w:tc>
          <w:tcPr>
            <w:tcW w:w="3292" w:type="dxa"/>
            <w:tcBorders>
              <w:top w:val="single" w:sz="4" w:space="0" w:color="000000"/>
              <w:left w:val="single" w:sz="4" w:space="0" w:color="auto"/>
              <w:bottom w:val="single" w:sz="4" w:space="0" w:color="000000"/>
              <w:right w:val="single" w:sz="4" w:space="0" w:color="000000"/>
            </w:tcBorders>
          </w:tcPr>
          <w:p w14:paraId="63382E15" w14:textId="77777777" w:rsidR="00C306F1" w:rsidRPr="00C306F1" w:rsidRDefault="00C306F1">
            <w:pPr>
              <w:snapToGrid w:val="0"/>
              <w:spacing w:after="0" w:line="240" w:lineRule="auto"/>
              <w:jc w:val="center"/>
              <w:rPr>
                <w:rFonts w:ascii="Times New Roman" w:eastAsia="Times New Roman" w:hAnsi="Times New Roman" w:cs="Times New Roman"/>
                <w:color w:val="000000"/>
                <w:sz w:val="20"/>
                <w:szCs w:val="20"/>
                <w:lang w:eastAsia="en-US"/>
              </w:rPr>
            </w:pPr>
          </w:p>
        </w:tc>
      </w:tr>
      <w:tr w:rsidR="00C306F1" w14:paraId="56A56F0A" w14:textId="77777777" w:rsidTr="00C306F1">
        <w:trPr>
          <w:trHeight w:val="537"/>
        </w:trPr>
        <w:tc>
          <w:tcPr>
            <w:tcW w:w="1985" w:type="dxa"/>
            <w:tcBorders>
              <w:top w:val="single" w:sz="4" w:space="0" w:color="auto"/>
              <w:left w:val="single" w:sz="4" w:space="0" w:color="auto"/>
              <w:bottom w:val="single" w:sz="4" w:space="0" w:color="auto"/>
              <w:right w:val="single" w:sz="4" w:space="0" w:color="auto"/>
            </w:tcBorders>
            <w:hideMark/>
          </w:tcPr>
          <w:p w14:paraId="04811B42" w14:textId="77777777" w:rsidR="00C306F1" w:rsidRPr="00C306F1" w:rsidRDefault="00C306F1">
            <w:pPr>
              <w:spacing w:after="0" w:line="240" w:lineRule="auto"/>
              <w:rPr>
                <w:rFonts w:ascii="Times New Roman" w:hAnsi="Times New Roman" w:cs="Times New Roman"/>
                <w:color w:val="000000"/>
                <w:sz w:val="20"/>
                <w:szCs w:val="20"/>
                <w:lang w:val="ru-RU" w:eastAsia="ar-SA"/>
              </w:rPr>
            </w:pPr>
            <w:r w:rsidRPr="00C306F1">
              <w:rPr>
                <w:rFonts w:ascii="Times New Roman" w:hAnsi="Times New Roman" w:cs="Times New Roman"/>
                <w:sz w:val="20"/>
                <w:szCs w:val="20"/>
              </w:rPr>
              <w:t xml:space="preserve">Відсів </w:t>
            </w:r>
          </w:p>
        </w:tc>
        <w:tc>
          <w:tcPr>
            <w:tcW w:w="5103" w:type="dxa"/>
            <w:tcBorders>
              <w:top w:val="single" w:sz="4" w:space="0" w:color="000000"/>
              <w:left w:val="single" w:sz="4" w:space="0" w:color="auto"/>
              <w:bottom w:val="single" w:sz="4" w:space="0" w:color="000000"/>
              <w:right w:val="single" w:sz="4" w:space="0" w:color="000000"/>
            </w:tcBorders>
            <w:vAlign w:val="center"/>
            <w:hideMark/>
          </w:tcPr>
          <w:p w14:paraId="67FF6E18" w14:textId="77777777" w:rsidR="00C306F1" w:rsidRPr="00C306F1" w:rsidRDefault="00C306F1">
            <w:pPr>
              <w:snapToGrid w:val="0"/>
              <w:spacing w:after="0"/>
              <w:rPr>
                <w:rFonts w:ascii="Times New Roman" w:hAnsi="Times New Roman" w:cs="Times New Roman"/>
                <w:color w:val="000000"/>
                <w:sz w:val="20"/>
                <w:szCs w:val="20"/>
                <w:lang w:eastAsia="en-US"/>
              </w:rPr>
            </w:pPr>
            <w:r w:rsidRPr="00C306F1">
              <w:rPr>
                <w:rFonts w:ascii="Times New Roman" w:hAnsi="Times New Roman" w:cs="Times New Roman"/>
                <w:color w:val="000000"/>
                <w:sz w:val="20"/>
                <w:szCs w:val="20"/>
                <w:lang w:eastAsia="en-US"/>
              </w:rPr>
              <w:t xml:space="preserve">Пісок із </w:t>
            </w:r>
            <w:proofErr w:type="spellStart"/>
            <w:r w:rsidRPr="00C306F1">
              <w:rPr>
                <w:rFonts w:ascii="Times New Roman" w:hAnsi="Times New Roman" w:cs="Times New Roman"/>
                <w:color w:val="000000"/>
                <w:sz w:val="20"/>
                <w:szCs w:val="20"/>
                <w:lang w:eastAsia="en-US"/>
              </w:rPr>
              <w:t>відсівів</w:t>
            </w:r>
            <w:proofErr w:type="spellEnd"/>
            <w:r w:rsidRPr="00C306F1">
              <w:rPr>
                <w:rFonts w:ascii="Times New Roman" w:hAnsi="Times New Roman" w:cs="Times New Roman"/>
                <w:color w:val="000000"/>
                <w:sz w:val="20"/>
                <w:szCs w:val="20"/>
                <w:lang w:eastAsia="en-US"/>
              </w:rPr>
              <w:t xml:space="preserve"> дроблення граніту</w:t>
            </w:r>
          </w:p>
          <w:p w14:paraId="4D2F749F" w14:textId="77777777" w:rsidR="00C306F1" w:rsidRPr="00C306F1" w:rsidRDefault="00C306F1">
            <w:pPr>
              <w:snapToGrid w:val="0"/>
              <w:spacing w:after="0"/>
              <w:rPr>
                <w:rFonts w:ascii="Times New Roman" w:hAnsi="Times New Roman" w:cs="Times New Roman"/>
                <w:color w:val="000000"/>
                <w:sz w:val="20"/>
                <w:szCs w:val="20"/>
                <w:lang w:eastAsia="en-US"/>
              </w:rPr>
            </w:pPr>
            <w:r w:rsidRPr="00C306F1">
              <w:rPr>
                <w:rFonts w:ascii="Times New Roman" w:hAnsi="Times New Roman" w:cs="Times New Roman"/>
                <w:color w:val="000000"/>
                <w:sz w:val="20"/>
                <w:szCs w:val="20"/>
                <w:lang w:eastAsia="en-US"/>
              </w:rPr>
              <w:t>Розмір фракції: 0-5 мм.</w:t>
            </w:r>
          </w:p>
          <w:p w14:paraId="3099D2CD" w14:textId="77777777" w:rsidR="00C306F1" w:rsidRPr="00C306F1" w:rsidRDefault="00C306F1">
            <w:pPr>
              <w:snapToGrid w:val="0"/>
              <w:spacing w:after="0" w:line="240" w:lineRule="auto"/>
              <w:rPr>
                <w:rFonts w:ascii="Times New Roman" w:eastAsia="Times New Roman" w:hAnsi="Times New Roman" w:cs="Times New Roman"/>
                <w:color w:val="000000"/>
                <w:sz w:val="20"/>
                <w:szCs w:val="20"/>
                <w:lang w:val="ru-RU" w:eastAsia="en-US"/>
              </w:rPr>
            </w:pPr>
            <w:r w:rsidRPr="00C306F1">
              <w:rPr>
                <w:rFonts w:ascii="Times New Roman" w:hAnsi="Times New Roman" w:cs="Times New Roman"/>
                <w:color w:val="000000"/>
                <w:sz w:val="20"/>
                <w:szCs w:val="20"/>
                <w:lang w:eastAsia="en-US"/>
              </w:rPr>
              <w:t xml:space="preserve">Повинен відповідати нормам </w:t>
            </w:r>
            <w:r w:rsidRPr="00C306F1">
              <w:rPr>
                <w:rFonts w:ascii="Times New Roman" w:hAnsi="Times New Roman" w:cs="Times New Roman"/>
                <w:bCs/>
                <w:sz w:val="20"/>
                <w:szCs w:val="20"/>
                <w:shd w:val="clear" w:color="auto" w:fill="FFFFFF"/>
              </w:rPr>
              <w:t xml:space="preserve">ДСТУ Б В.2.7-210 2010 </w:t>
            </w:r>
            <w:r w:rsidRPr="00C306F1">
              <w:rPr>
                <w:rFonts w:ascii="Times New Roman" w:eastAsia="Times New Roman" w:hAnsi="Times New Roman" w:cs="Tahoma"/>
                <w:kern w:val="2"/>
                <w:sz w:val="20"/>
                <w:szCs w:val="20"/>
                <w:lang w:eastAsia="hi-IN" w:bidi="hi-IN"/>
              </w:rPr>
              <w:t xml:space="preserve">Пісок із </w:t>
            </w:r>
            <w:proofErr w:type="spellStart"/>
            <w:r w:rsidRPr="00C306F1">
              <w:rPr>
                <w:rFonts w:ascii="Times New Roman" w:eastAsia="Times New Roman" w:hAnsi="Times New Roman" w:cs="Tahoma"/>
                <w:kern w:val="2"/>
                <w:sz w:val="20"/>
                <w:szCs w:val="20"/>
                <w:lang w:eastAsia="hi-IN" w:bidi="hi-IN"/>
              </w:rPr>
              <w:t>відсівів</w:t>
            </w:r>
            <w:proofErr w:type="spellEnd"/>
            <w:r w:rsidRPr="00C306F1">
              <w:rPr>
                <w:rFonts w:ascii="Times New Roman" w:eastAsia="Times New Roman" w:hAnsi="Times New Roman" w:cs="Tahoma"/>
                <w:kern w:val="2"/>
                <w:sz w:val="20"/>
                <w:szCs w:val="20"/>
                <w:lang w:eastAsia="hi-IN" w:bidi="hi-IN"/>
              </w:rPr>
              <w:t xml:space="preserve"> дроблення вивержених гірських порід для будівельних робіт.                                            </w:t>
            </w:r>
          </w:p>
        </w:tc>
        <w:tc>
          <w:tcPr>
            <w:tcW w:w="3292" w:type="dxa"/>
            <w:tcBorders>
              <w:top w:val="single" w:sz="4" w:space="0" w:color="000000"/>
              <w:left w:val="single" w:sz="4" w:space="0" w:color="auto"/>
              <w:bottom w:val="single" w:sz="4" w:space="0" w:color="000000"/>
              <w:right w:val="single" w:sz="4" w:space="0" w:color="000000"/>
            </w:tcBorders>
          </w:tcPr>
          <w:p w14:paraId="1838D08D" w14:textId="77777777" w:rsidR="00C306F1" w:rsidRPr="00C306F1" w:rsidRDefault="00C306F1">
            <w:pPr>
              <w:snapToGrid w:val="0"/>
              <w:spacing w:after="0" w:line="240" w:lineRule="auto"/>
              <w:jc w:val="center"/>
              <w:rPr>
                <w:rFonts w:ascii="Times New Roman" w:eastAsia="Times New Roman" w:hAnsi="Times New Roman" w:cs="Times New Roman"/>
                <w:color w:val="000000"/>
                <w:sz w:val="20"/>
                <w:szCs w:val="20"/>
                <w:lang w:eastAsia="en-US"/>
              </w:rPr>
            </w:pPr>
          </w:p>
        </w:tc>
      </w:tr>
    </w:tbl>
    <w:p w14:paraId="14234C0D" w14:textId="77777777" w:rsidR="00C306F1" w:rsidRDefault="00C306F1" w:rsidP="00C306F1">
      <w:pPr>
        <w:spacing w:line="276" w:lineRule="auto"/>
        <w:ind w:firstLine="720"/>
        <w:contextualSpacing/>
        <w:jc w:val="both"/>
        <w:rPr>
          <w:rFonts w:ascii="Times New Roman" w:hAnsi="Times New Roman" w:cs="Times New Roman"/>
          <w:lang w:eastAsia="en-US"/>
        </w:rPr>
      </w:pPr>
    </w:p>
    <w:p w14:paraId="244A3E83" w14:textId="77777777" w:rsidR="003460B5" w:rsidRPr="008E4085" w:rsidRDefault="003460B5" w:rsidP="003460B5">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F4CDD50" w14:textId="77777777" w:rsidR="003460B5" w:rsidRPr="008E4085" w:rsidRDefault="003460B5" w:rsidP="003460B5">
      <w:pPr>
        <w:shd w:val="clear" w:color="auto" w:fill="FFFFFF"/>
        <w:spacing w:after="0" w:line="240" w:lineRule="auto"/>
        <w:ind w:firstLine="720"/>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52D328F8" w14:textId="77777777" w:rsidR="003460B5" w:rsidRPr="008E4085" w:rsidRDefault="003460B5" w:rsidP="003460B5">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09D782F2" w14:textId="77777777" w:rsidR="003460B5" w:rsidRPr="008E4085" w:rsidRDefault="003460B5" w:rsidP="003460B5">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2BC73104" w14:textId="77777777" w:rsidR="003460B5" w:rsidRPr="008E4085" w:rsidRDefault="003460B5" w:rsidP="003460B5">
      <w:pPr>
        <w:spacing w:before="240" w:after="240" w:line="276" w:lineRule="auto"/>
        <w:ind w:firstLine="720"/>
        <w:contextualSpacing/>
        <w:jc w:val="both"/>
        <w:rPr>
          <w:rFonts w:ascii="Times New Roman" w:hAnsi="Times New Roman" w:cs="Times New Roman"/>
          <w:sz w:val="20"/>
          <w:szCs w:val="20"/>
          <w:lang w:eastAsia="en-US"/>
        </w:rPr>
      </w:pPr>
    </w:p>
    <w:p w14:paraId="13B03BA6" w14:textId="77777777" w:rsidR="003460B5" w:rsidRPr="008E4085" w:rsidRDefault="003460B5" w:rsidP="003460B5">
      <w:pPr>
        <w:suppressAutoHyphens/>
        <w:spacing w:after="0" w:line="240" w:lineRule="auto"/>
        <w:jc w:val="both"/>
        <w:rPr>
          <w:rFonts w:ascii="Times New Roman" w:eastAsia="Times New Roman" w:hAnsi="Times New Roman" w:cs="Times New Roman"/>
          <w:sz w:val="20"/>
          <w:szCs w:val="20"/>
          <w:lang w:eastAsia="zh-CN"/>
        </w:rPr>
      </w:pPr>
      <w:r w:rsidRPr="008E4085">
        <w:rPr>
          <w:rFonts w:ascii="Times New Roman" w:hAnsi="Times New Roman" w:cs="Times New Roman"/>
          <w:b/>
          <w:bCs/>
          <w:sz w:val="20"/>
          <w:szCs w:val="20"/>
          <w:u w:val="single"/>
          <w:lang w:eastAsia="zh-CN"/>
        </w:rPr>
        <w:lastRenderedPageBreak/>
        <w:t xml:space="preserve">Інші вимоги </w:t>
      </w:r>
    </w:p>
    <w:p w14:paraId="6AED16EF" w14:textId="77777777" w:rsidR="003460B5" w:rsidRPr="008E408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202EA892" w14:textId="75A59253" w:rsidR="003460B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xml:space="preserve">- Предмет закупівлі (продукція, тара, пакування, транспортування, послуги, роботи і </w:t>
      </w:r>
      <w:proofErr w:type="spellStart"/>
      <w:r w:rsidRPr="008E4085">
        <w:rPr>
          <w:rFonts w:ascii="Times New Roman" w:hAnsi="Times New Roman" w:cs="Times New Roman"/>
          <w:sz w:val="20"/>
          <w:szCs w:val="20"/>
          <w:lang w:eastAsia="zh-CN"/>
        </w:rPr>
        <w:t>т.п</w:t>
      </w:r>
      <w:proofErr w:type="spellEnd"/>
      <w:r w:rsidRPr="008E4085">
        <w:rPr>
          <w:rFonts w:ascii="Times New Roman" w:hAnsi="Times New Roman" w:cs="Times New Roman"/>
          <w:sz w:val="20"/>
          <w:szCs w:val="20"/>
          <w:lang w:eastAsia="zh-CN"/>
        </w:rPr>
        <w:t>.) не повинні завдавати шкоди навколишньому середовищу та передбачати заходи щодо захисту довкілля.</w:t>
      </w:r>
    </w:p>
    <w:p w14:paraId="3905AFEC" w14:textId="73D13633" w:rsidR="003460B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A3AC422" w14:textId="77777777" w:rsidR="003460B5" w:rsidRPr="008E4085" w:rsidRDefault="003460B5" w:rsidP="003460B5">
      <w:pPr>
        <w:suppressAutoHyphens/>
        <w:spacing w:after="0" w:line="240" w:lineRule="auto"/>
        <w:jc w:val="both"/>
        <w:rPr>
          <w:rFonts w:ascii="Times New Roman" w:hAnsi="Times New Roman" w:cs="Times New Roman"/>
          <w:b/>
          <w:bCs/>
          <w:iCs/>
          <w:sz w:val="20"/>
          <w:szCs w:val="20"/>
          <w:lang w:eastAsia="zh-CN"/>
        </w:rPr>
      </w:pPr>
    </w:p>
    <w:p w14:paraId="2B830633" w14:textId="77777777" w:rsidR="003460B5" w:rsidRPr="008E4085" w:rsidRDefault="003460B5" w:rsidP="003460B5">
      <w:pPr>
        <w:spacing w:after="0" w:line="240" w:lineRule="auto"/>
        <w:contextualSpacing/>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5C918EB1" w14:textId="15249A02" w:rsidR="003460B5" w:rsidRPr="008E4085" w:rsidRDefault="003460B5" w:rsidP="003460B5">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8E4085">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r w:rsidR="00FC4A42">
        <w:rPr>
          <w:rFonts w:ascii="Times New Roman" w:eastAsia="Times New Roman" w:hAnsi="Times New Roman" w:cs="Times New Roman"/>
          <w:sz w:val="20"/>
          <w:szCs w:val="20"/>
        </w:rPr>
        <w:t xml:space="preserve"> та його країну походження </w:t>
      </w:r>
    </w:p>
    <w:p w14:paraId="15491294" w14:textId="75FECDE6" w:rsidR="00C306F1" w:rsidRPr="00C306F1" w:rsidRDefault="00924FA1" w:rsidP="00C306F1">
      <w:pPr>
        <w:shd w:val="clear" w:color="auto" w:fill="FFFFFF"/>
        <w:spacing w:after="0" w:line="240" w:lineRule="auto"/>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2</w:t>
      </w:r>
      <w:r w:rsidR="003460B5" w:rsidRPr="008E4085">
        <w:rPr>
          <w:rFonts w:ascii="Times New Roman" w:eastAsia="Times New Roman" w:hAnsi="Times New Roman" w:cs="Times New Roman"/>
          <w:bCs/>
          <w:sz w:val="20"/>
          <w:szCs w:val="20"/>
          <w:lang w:eastAsia="zh-CN"/>
        </w:rPr>
        <w:t>.</w:t>
      </w:r>
      <w:r w:rsidR="00C306F1">
        <w:rPr>
          <w:rFonts w:ascii="Times New Roman" w:eastAsia="Times New Roman" w:hAnsi="Times New Roman" w:cs="Times New Roman"/>
          <w:bCs/>
          <w:sz w:val="20"/>
          <w:szCs w:val="20"/>
          <w:lang w:eastAsia="zh-CN"/>
        </w:rPr>
        <w:t xml:space="preserve"> </w:t>
      </w:r>
      <w:r w:rsidR="00C306F1" w:rsidRPr="00C306F1">
        <w:rPr>
          <w:rFonts w:ascii="Times New Roman" w:eastAsia="Times New Roman" w:hAnsi="Times New Roman" w:cs="Times New Roman"/>
          <w:bCs/>
          <w:sz w:val="20"/>
          <w:szCs w:val="20"/>
          <w:lang w:eastAsia="zh-CN"/>
        </w:rPr>
        <w:t>Документи, що підтверджують якість товару  - паспорт якості та /або сертифікат відповідності, тощо</w:t>
      </w:r>
      <w:r w:rsidR="00127DDD">
        <w:rPr>
          <w:rFonts w:ascii="Times New Roman" w:eastAsia="Times New Roman" w:hAnsi="Times New Roman" w:cs="Times New Roman"/>
          <w:bCs/>
          <w:sz w:val="20"/>
          <w:szCs w:val="20"/>
          <w:lang w:eastAsia="zh-CN"/>
        </w:rPr>
        <w:t>.</w:t>
      </w:r>
    </w:p>
    <w:p w14:paraId="6242464D" w14:textId="2F5A8338" w:rsidR="008B2E4D" w:rsidRDefault="00C306F1" w:rsidP="00C306F1">
      <w:pPr>
        <w:shd w:val="clear" w:color="auto" w:fill="FFFFFF"/>
        <w:spacing w:after="0" w:line="240" w:lineRule="auto"/>
        <w:jc w:val="both"/>
        <w:rPr>
          <w:rFonts w:ascii="Times New Roman" w:eastAsia="Times New Roman" w:hAnsi="Times New Roman" w:cs="Times New Roman"/>
          <w:sz w:val="20"/>
          <w:szCs w:val="20"/>
        </w:rPr>
      </w:pPr>
      <w:r w:rsidRPr="00C306F1">
        <w:rPr>
          <w:rFonts w:ascii="Times New Roman" w:eastAsia="Times New Roman" w:hAnsi="Times New Roman" w:cs="Times New Roman"/>
          <w:bCs/>
          <w:sz w:val="20"/>
          <w:szCs w:val="20"/>
          <w:lang w:eastAsia="zh-CN"/>
        </w:rPr>
        <w:t>3. 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поставки товару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w:t>
      </w:r>
      <w:proofErr w:type="spellStart"/>
      <w:r w:rsidRPr="00C306F1">
        <w:rPr>
          <w:rFonts w:ascii="Times New Roman" w:eastAsia="Times New Roman" w:hAnsi="Times New Roman" w:cs="Times New Roman"/>
          <w:bCs/>
          <w:sz w:val="20"/>
          <w:szCs w:val="20"/>
          <w:lang w:eastAsia="zh-CN"/>
        </w:rPr>
        <w:t>проєкт</w:t>
      </w:r>
      <w:proofErr w:type="spellEnd"/>
      <w:r w:rsidRPr="00C306F1">
        <w:rPr>
          <w:rFonts w:ascii="Times New Roman" w:eastAsia="Times New Roman" w:hAnsi="Times New Roman" w:cs="Times New Roman"/>
          <w:bCs/>
          <w:sz w:val="20"/>
          <w:szCs w:val="20"/>
          <w:lang w:eastAsia="zh-CN"/>
        </w:rPr>
        <w:t xml:space="preserve"> договору).</w:t>
      </w:r>
    </w:p>
    <w:p w14:paraId="7339B519" w14:textId="4F907168" w:rsidR="001906D6" w:rsidRPr="00E64ED8" w:rsidRDefault="001906D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B113FAD" w14:textId="0FC4CD5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06D921" w14:textId="7DC47BE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3FEA7A" w14:textId="2E1312DA"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CC70871" w14:textId="6A9BA95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0BB998F" w14:textId="67FEFCE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0EC2E44" w14:textId="3F54C51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DBCF46A" w14:textId="64F96A9C" w:rsidR="00966CB2" w:rsidRDefault="00966CB2" w:rsidP="00282776">
      <w:pPr>
        <w:shd w:val="clear" w:color="auto" w:fill="FFFFFF"/>
        <w:spacing w:after="0" w:line="240" w:lineRule="auto"/>
        <w:jc w:val="both"/>
        <w:rPr>
          <w:rFonts w:ascii="Times New Roman" w:eastAsia="Times New Roman" w:hAnsi="Times New Roman" w:cs="Times New Roman"/>
          <w:sz w:val="20"/>
          <w:szCs w:val="20"/>
        </w:rPr>
      </w:pPr>
    </w:p>
    <w:p w14:paraId="4F7BD649" w14:textId="5CD892C6"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B83911D" w14:textId="016307E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CD9618" w14:textId="77777777"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CE59" w14:textId="77777777" w:rsidR="00C23ED0" w:rsidRDefault="00C23ED0">
      <w:pPr>
        <w:spacing w:after="0" w:line="240" w:lineRule="auto"/>
      </w:pPr>
      <w:r>
        <w:separator/>
      </w:r>
    </w:p>
  </w:endnote>
  <w:endnote w:type="continuationSeparator" w:id="0">
    <w:p w14:paraId="1C9560B6" w14:textId="77777777" w:rsidR="00C23ED0" w:rsidRDefault="00C2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B1D9" w14:textId="77777777" w:rsidR="00C23ED0" w:rsidRDefault="00C23ED0">
      <w:pPr>
        <w:spacing w:after="0" w:line="240" w:lineRule="auto"/>
      </w:pPr>
      <w:r>
        <w:separator/>
      </w:r>
    </w:p>
  </w:footnote>
  <w:footnote w:type="continuationSeparator" w:id="0">
    <w:p w14:paraId="1A2AE8FD" w14:textId="77777777" w:rsidR="00C23ED0" w:rsidRDefault="00C23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CAA7569"/>
    <w:multiLevelType w:val="hybridMultilevel"/>
    <w:tmpl w:val="3A0657F0"/>
    <w:lvl w:ilvl="0" w:tplc="509CC0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0"/>
  </w:num>
  <w:num w:numId="4">
    <w:abstractNumId w:val="4"/>
  </w:num>
  <w:num w:numId="5">
    <w:abstractNumId w:val="11"/>
  </w:num>
  <w:num w:numId="6">
    <w:abstractNumId w:val="5"/>
  </w:num>
  <w:num w:numId="7">
    <w:abstractNumId w:val="2"/>
  </w:num>
  <w:num w:numId="8">
    <w:abstractNumId w:val="12"/>
  </w:num>
  <w:num w:numId="9">
    <w:abstractNumId w:val="10"/>
  </w:num>
  <w:num w:numId="10">
    <w:abstractNumId w:val="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23DAB"/>
    <w:rsid w:val="0004659B"/>
    <w:rsid w:val="00127DDD"/>
    <w:rsid w:val="00132F4F"/>
    <w:rsid w:val="00185166"/>
    <w:rsid w:val="001906D6"/>
    <w:rsid w:val="00203A03"/>
    <w:rsid w:val="00222F34"/>
    <w:rsid w:val="00262714"/>
    <w:rsid w:val="00282776"/>
    <w:rsid w:val="002B7B92"/>
    <w:rsid w:val="002D34AD"/>
    <w:rsid w:val="003460B5"/>
    <w:rsid w:val="00354310"/>
    <w:rsid w:val="00385320"/>
    <w:rsid w:val="003C7470"/>
    <w:rsid w:val="003D1948"/>
    <w:rsid w:val="00437601"/>
    <w:rsid w:val="004E23B1"/>
    <w:rsid w:val="004F37DF"/>
    <w:rsid w:val="004F57A6"/>
    <w:rsid w:val="005037FC"/>
    <w:rsid w:val="00556885"/>
    <w:rsid w:val="00605BDE"/>
    <w:rsid w:val="00622D24"/>
    <w:rsid w:val="00630D74"/>
    <w:rsid w:val="006355E0"/>
    <w:rsid w:val="0069011F"/>
    <w:rsid w:val="007910F1"/>
    <w:rsid w:val="007B2464"/>
    <w:rsid w:val="00800690"/>
    <w:rsid w:val="008B2E4D"/>
    <w:rsid w:val="00924FA1"/>
    <w:rsid w:val="00951DE4"/>
    <w:rsid w:val="0095629D"/>
    <w:rsid w:val="00966CB2"/>
    <w:rsid w:val="009C71D0"/>
    <w:rsid w:val="009F0BEE"/>
    <w:rsid w:val="00A17526"/>
    <w:rsid w:val="00A70477"/>
    <w:rsid w:val="00B006C8"/>
    <w:rsid w:val="00B70A0F"/>
    <w:rsid w:val="00B7644D"/>
    <w:rsid w:val="00BA476C"/>
    <w:rsid w:val="00BA7F5B"/>
    <w:rsid w:val="00BB5899"/>
    <w:rsid w:val="00C23ED0"/>
    <w:rsid w:val="00C306F1"/>
    <w:rsid w:val="00C518A4"/>
    <w:rsid w:val="00C730B2"/>
    <w:rsid w:val="00CE0107"/>
    <w:rsid w:val="00D3618E"/>
    <w:rsid w:val="00DA43BE"/>
    <w:rsid w:val="00DB5DB8"/>
    <w:rsid w:val="00DF72A4"/>
    <w:rsid w:val="00E2493F"/>
    <w:rsid w:val="00E422AD"/>
    <w:rsid w:val="00E64ED8"/>
    <w:rsid w:val="00E74F3A"/>
    <w:rsid w:val="00F72CB3"/>
    <w:rsid w:val="00FC4A42"/>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10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1062">
      <w:bodyDiv w:val="1"/>
      <w:marLeft w:val="0"/>
      <w:marRight w:val="0"/>
      <w:marTop w:val="0"/>
      <w:marBottom w:val="0"/>
      <w:divBdr>
        <w:top w:val="none" w:sz="0" w:space="0" w:color="auto"/>
        <w:left w:val="none" w:sz="0" w:space="0" w:color="auto"/>
        <w:bottom w:val="none" w:sz="0" w:space="0" w:color="auto"/>
        <w:right w:val="none" w:sz="0" w:space="0" w:color="auto"/>
      </w:divBdr>
    </w:div>
    <w:div w:id="685903779">
      <w:bodyDiv w:val="1"/>
      <w:marLeft w:val="0"/>
      <w:marRight w:val="0"/>
      <w:marTop w:val="0"/>
      <w:marBottom w:val="0"/>
      <w:divBdr>
        <w:top w:val="none" w:sz="0" w:space="0" w:color="auto"/>
        <w:left w:val="none" w:sz="0" w:space="0" w:color="auto"/>
        <w:bottom w:val="none" w:sz="0" w:space="0" w:color="auto"/>
        <w:right w:val="none" w:sz="0" w:space="0" w:color="auto"/>
      </w:divBdr>
    </w:div>
    <w:div w:id="1641694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47220</Words>
  <Characters>26916</Characters>
  <Application>Microsoft Office Word</Application>
  <DocSecurity>0</DocSecurity>
  <Lines>224</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8</cp:revision>
  <dcterms:created xsi:type="dcterms:W3CDTF">2023-11-13T08:45:00Z</dcterms:created>
  <dcterms:modified xsi:type="dcterms:W3CDTF">2023-11-15T13:07:00Z</dcterms:modified>
</cp:coreProperties>
</file>