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2F29" w:rsidRPr="002601D8" w:rsidRDefault="00452F29" w:rsidP="00452F2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 w:rsidRPr="002601D8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2601D8"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  <w:r w:rsidR="00113F2B"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  <w:t xml:space="preserve">    </w:t>
      </w:r>
      <w:bookmarkStart w:id="0" w:name="_GoBack"/>
      <w:bookmarkEnd w:id="0"/>
      <w:r w:rsidRPr="002601D8"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  <w:t xml:space="preserve">    </w:t>
      </w:r>
      <w:r w:rsidRPr="002601D8"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ДОДАТОК 2</w:t>
      </w:r>
    </w:p>
    <w:p w:rsidR="00452F29" w:rsidRPr="002601D8" w:rsidRDefault="00452F29" w:rsidP="00452F2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</w:p>
    <w:p w:rsidR="00452F29" w:rsidRPr="002601D8" w:rsidRDefault="00452F29" w:rsidP="00452F29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szCs w:val="24"/>
          <w:lang w:val="uk-UA"/>
        </w:rPr>
      </w:pPr>
      <w:r w:rsidRPr="002601D8"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szCs w:val="24"/>
          <w:lang w:val="uk-UA"/>
        </w:rPr>
        <w:t>Кваліфікаційні критерії та перелік документів, що підтверджують інформацію Учасників про відповідність їх таким критеріям:</w:t>
      </w:r>
    </w:p>
    <w:p w:rsidR="00452F29" w:rsidRPr="002601D8" w:rsidRDefault="00452F29" w:rsidP="00452F29">
      <w:pPr>
        <w:widowControl w:val="0"/>
        <w:tabs>
          <w:tab w:val="left" w:pos="1080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</w:pPr>
    </w:p>
    <w:p w:rsidR="00452F29" w:rsidRPr="002601D8" w:rsidRDefault="00452F29" w:rsidP="00452F29">
      <w:pPr>
        <w:widowControl w:val="0"/>
        <w:tabs>
          <w:tab w:val="left" w:pos="1080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</w:pPr>
      <w:r w:rsidRPr="002601D8"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  <w:t>1.Документи для підтвердження відповідності пропозиції Учасника кваліфікаційним критеріям закріплених ч. 2 ст. 16 Закону.</w:t>
      </w:r>
    </w:p>
    <w:p w:rsidR="00452F29" w:rsidRPr="002601D8" w:rsidRDefault="00452F29" w:rsidP="00452F29">
      <w:pPr>
        <w:widowControl w:val="0"/>
        <w:tabs>
          <w:tab w:val="left" w:pos="1080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</w:pPr>
    </w:p>
    <w:tbl>
      <w:tblPr>
        <w:tblW w:w="10350" w:type="dxa"/>
        <w:tblInd w:w="-230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68"/>
        <w:gridCol w:w="7182"/>
      </w:tblGrid>
      <w:tr w:rsidR="00452F29" w:rsidRPr="002601D8" w:rsidTr="00675B0A">
        <w:trPr>
          <w:trHeight w:val="503"/>
          <w:tblHeader/>
        </w:trPr>
        <w:tc>
          <w:tcPr>
            <w:tcW w:w="3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52F29" w:rsidRPr="002601D8" w:rsidRDefault="00452F29" w:rsidP="00675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2601D8">
              <w:rPr>
                <w:rFonts w:ascii="Times New Roman" w:eastAsia="Calibri" w:hAnsi="Times New Roman" w:cs="Times New Roman"/>
                <w:b/>
                <w:bCs/>
                <w:color w:val="auto"/>
                <w:lang w:val="uk-UA"/>
              </w:rPr>
              <w:t>Кваліфікаційні критерії, встановлені відповідно до ст. 16 Закону</w:t>
            </w:r>
          </w:p>
        </w:tc>
        <w:tc>
          <w:tcPr>
            <w:tcW w:w="7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452F29" w:rsidRPr="002601D8" w:rsidRDefault="00452F29" w:rsidP="00675B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uk-UA"/>
              </w:rPr>
            </w:pPr>
            <w:r w:rsidRPr="002601D8">
              <w:rPr>
                <w:rFonts w:ascii="Times New Roman" w:eastAsia="Calibri" w:hAnsi="Times New Roman" w:cs="Times New Roman"/>
                <w:b/>
                <w:bCs/>
                <w:color w:val="auto"/>
                <w:lang w:val="uk-UA"/>
              </w:rPr>
              <w:t>Документи, які підтверджують відповідність Учасника встановленим кваліфікаційним критеріям</w:t>
            </w:r>
          </w:p>
        </w:tc>
      </w:tr>
      <w:tr w:rsidR="00452F29" w:rsidRPr="002601D8" w:rsidTr="00675B0A">
        <w:trPr>
          <w:trHeight w:val="4471"/>
        </w:trPr>
        <w:tc>
          <w:tcPr>
            <w:tcW w:w="3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52F29" w:rsidRPr="002601D8" w:rsidRDefault="00452F29" w:rsidP="00675B0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01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proofErr w:type="spellStart"/>
            <w:r w:rsidRPr="002601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Наявність</w:t>
            </w:r>
            <w:proofErr w:type="spellEnd"/>
            <w:r w:rsidRPr="002601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документально </w:t>
            </w:r>
            <w:proofErr w:type="spellStart"/>
            <w:r w:rsidRPr="002601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підтвердженого</w:t>
            </w:r>
            <w:proofErr w:type="spellEnd"/>
            <w:r w:rsidRPr="002601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досвіду</w:t>
            </w:r>
            <w:proofErr w:type="spellEnd"/>
            <w:r w:rsidRPr="002601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виконання</w:t>
            </w:r>
            <w:proofErr w:type="spellEnd"/>
            <w:r w:rsidRPr="002601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аналогічного</w:t>
            </w:r>
            <w:proofErr w:type="spellEnd"/>
            <w:r w:rsidRPr="002601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601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договору.</w:t>
            </w:r>
            <w:r w:rsidRPr="002601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*</w:t>
            </w:r>
            <w:proofErr w:type="gramEnd"/>
          </w:p>
        </w:tc>
        <w:tc>
          <w:tcPr>
            <w:tcW w:w="7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452F29" w:rsidRPr="002601D8" w:rsidRDefault="00452F29" w:rsidP="00675B0A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1D8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.1. На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підтвердження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досвіду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виконання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аналогічного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аналогічних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) за предметом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договору (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договорів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  <w:p w:rsidR="00452F29" w:rsidRPr="002601D8" w:rsidRDefault="00452F29" w:rsidP="00675B0A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Учасник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має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надати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:</w:t>
            </w:r>
          </w:p>
          <w:p w:rsidR="00452F29" w:rsidRPr="002601D8" w:rsidRDefault="00452F29" w:rsidP="00675B0A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1D8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.2.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довідку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в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довільній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формі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,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інформацією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про</w:t>
            </w:r>
            <w:r w:rsidRPr="002601D8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proofErr w:type="gram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виконання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 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аналогічного</w:t>
            </w:r>
            <w:proofErr w:type="spellEnd"/>
            <w:proofErr w:type="gram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(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аналогічних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) за предметом</w:t>
            </w:r>
            <w:r w:rsidRPr="002601D8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договору (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договорів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)  (не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менше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одного договору)</w:t>
            </w: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01D8">
              <w:rPr>
                <w:rFonts w:ascii="Times New Roman" w:eastAsia="Times New Roman" w:hAnsi="Times New Roman" w:cs="Times New Roman"/>
              </w:rPr>
              <w:t xml:space="preserve">за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період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2020 – 202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 w:rsidRPr="002601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рр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Договір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повинен бути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повністю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виконаним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та таким строк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дії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</w:t>
            </w:r>
            <w:r w:rsidRPr="002601D8">
              <w:rPr>
                <w:rFonts w:ascii="Times New Roman" w:eastAsia="Times New Roman" w:hAnsi="Times New Roman" w:cs="Times New Roman"/>
                <w:lang w:val="uk-UA"/>
              </w:rPr>
              <w:t xml:space="preserve">його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val="uk-UA"/>
              </w:rPr>
              <w:t>ма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>є</w:t>
            </w:r>
            <w:r w:rsidRPr="002601D8">
              <w:rPr>
                <w:rFonts w:ascii="Times New Roman" w:eastAsia="Times New Roman" w:hAnsi="Times New Roman" w:cs="Times New Roman"/>
                <w:lang w:val="uk-UA"/>
              </w:rPr>
              <w:t xml:space="preserve"> бути</w:t>
            </w:r>
            <w:r w:rsidRPr="002601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завершеним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>.</w:t>
            </w:r>
          </w:p>
          <w:p w:rsidR="00452F29" w:rsidRPr="002601D8" w:rsidRDefault="00452F29" w:rsidP="00675B0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Аналогічним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вважається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договір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, </w:t>
            </w:r>
            <w:r w:rsidRPr="002601D8">
              <w:rPr>
                <w:rFonts w:ascii="Times New Roman" w:hAnsi="Times New Roman" w:cs="Times New Roman"/>
                <w:i/>
                <w:iCs/>
              </w:rPr>
              <w:t xml:space="preserve">предмет </w:t>
            </w:r>
            <w:proofErr w:type="spellStart"/>
            <w:r w:rsidRPr="002601D8">
              <w:rPr>
                <w:rFonts w:ascii="Times New Roman" w:hAnsi="Times New Roman" w:cs="Times New Roman"/>
                <w:i/>
                <w:iCs/>
              </w:rPr>
              <w:t>якого</w:t>
            </w:r>
            <w:proofErr w:type="spellEnd"/>
            <w:r w:rsidRPr="002601D8">
              <w:rPr>
                <w:rFonts w:ascii="Times New Roman" w:hAnsi="Times New Roman" w:cs="Times New Roman"/>
                <w:i/>
                <w:iCs/>
              </w:rPr>
              <w:t xml:space="preserve"> входить до </w:t>
            </w:r>
            <w:proofErr w:type="spellStart"/>
            <w:r w:rsidRPr="002601D8">
              <w:rPr>
                <w:rFonts w:ascii="Times New Roman" w:hAnsi="Times New Roman" w:cs="Times New Roman"/>
                <w:i/>
                <w:iCs/>
              </w:rPr>
              <w:t>відповідного</w:t>
            </w:r>
            <w:proofErr w:type="spellEnd"/>
            <w:r w:rsidRPr="002601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  <w:i/>
                <w:iCs/>
              </w:rPr>
              <w:t>класу</w:t>
            </w:r>
            <w:proofErr w:type="spellEnd"/>
            <w:r w:rsidRPr="002601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  <w:i/>
                <w:iCs/>
              </w:rPr>
              <w:t>відповідно</w:t>
            </w:r>
            <w:proofErr w:type="spellEnd"/>
            <w:r w:rsidRPr="002601D8">
              <w:rPr>
                <w:rFonts w:ascii="Times New Roman" w:hAnsi="Times New Roman" w:cs="Times New Roman"/>
                <w:i/>
                <w:iCs/>
              </w:rPr>
              <w:t xml:space="preserve"> до </w:t>
            </w:r>
            <w:proofErr w:type="spellStart"/>
            <w:r w:rsidRPr="002601D8">
              <w:rPr>
                <w:rFonts w:ascii="Times New Roman" w:hAnsi="Times New Roman" w:cs="Times New Roman"/>
                <w:i/>
                <w:iCs/>
              </w:rPr>
              <w:t>Єдиного</w:t>
            </w:r>
            <w:proofErr w:type="spellEnd"/>
            <w:r w:rsidRPr="002601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  <w:i/>
                <w:iCs/>
              </w:rPr>
              <w:t>закупівельного</w:t>
            </w:r>
            <w:proofErr w:type="spellEnd"/>
            <w:r w:rsidRPr="002601D8">
              <w:rPr>
                <w:rFonts w:ascii="Times New Roman" w:hAnsi="Times New Roman" w:cs="Times New Roman"/>
                <w:i/>
                <w:iCs/>
              </w:rPr>
              <w:t xml:space="preserve"> словника, </w:t>
            </w:r>
            <w:proofErr w:type="spellStart"/>
            <w:r w:rsidRPr="002601D8">
              <w:rPr>
                <w:rFonts w:ascii="Times New Roman" w:hAnsi="Times New Roman" w:cs="Times New Roman"/>
                <w:i/>
                <w:iCs/>
              </w:rPr>
              <w:t>згідно</w:t>
            </w:r>
            <w:proofErr w:type="spellEnd"/>
            <w:r w:rsidRPr="002601D8">
              <w:rPr>
                <w:rFonts w:ascii="Times New Roman" w:hAnsi="Times New Roman" w:cs="Times New Roman"/>
                <w:i/>
                <w:iCs/>
              </w:rPr>
              <w:t xml:space="preserve"> з </w:t>
            </w:r>
            <w:proofErr w:type="spellStart"/>
            <w:r w:rsidRPr="002601D8">
              <w:rPr>
                <w:rFonts w:ascii="Times New Roman" w:hAnsi="Times New Roman" w:cs="Times New Roman"/>
                <w:i/>
                <w:iCs/>
              </w:rPr>
              <w:t>яким</w:t>
            </w:r>
            <w:proofErr w:type="spellEnd"/>
            <w:r w:rsidRPr="002601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  <w:i/>
                <w:iCs/>
              </w:rPr>
              <w:t>визначено</w:t>
            </w:r>
            <w:proofErr w:type="spellEnd"/>
            <w:r w:rsidRPr="002601D8">
              <w:rPr>
                <w:rFonts w:ascii="Times New Roman" w:hAnsi="Times New Roman" w:cs="Times New Roman"/>
                <w:i/>
                <w:iCs/>
              </w:rPr>
              <w:t xml:space="preserve"> предмет </w:t>
            </w:r>
            <w:proofErr w:type="spellStart"/>
            <w:r w:rsidRPr="002601D8">
              <w:rPr>
                <w:rFonts w:ascii="Times New Roman" w:hAnsi="Times New Roman" w:cs="Times New Roman"/>
                <w:i/>
                <w:iCs/>
              </w:rPr>
              <w:t>закупівлі</w:t>
            </w:r>
            <w:proofErr w:type="spellEnd"/>
            <w:r w:rsidRPr="002601D8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452F29" w:rsidRPr="002601D8" w:rsidRDefault="00452F29" w:rsidP="00675B0A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1D8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.3. не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менше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1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копії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договору,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зазначеного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довідці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у</w:t>
            </w:r>
            <w:r w:rsidRPr="002601D8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повному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обсязі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(з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усіма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укладеними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додатковими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угодами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додатками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та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специфікаціями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gram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до договору</w:t>
            </w:r>
            <w:proofErr w:type="gram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), </w:t>
            </w:r>
          </w:p>
          <w:p w:rsidR="00452F29" w:rsidRPr="002601D8" w:rsidRDefault="00452F29" w:rsidP="00675B0A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1D8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.4.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копії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/ю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документів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/у на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підтвердження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виконання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не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менше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ніж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одного договору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зазначеного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в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наданій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Учасником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довідці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(</w:t>
            </w:r>
            <w:r w:rsidRPr="002601D8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видаткова накладна, </w:t>
            </w:r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акт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виконаних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робіт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тощо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  <w:p w:rsidR="00452F29" w:rsidRPr="002601D8" w:rsidRDefault="00452F29" w:rsidP="00675B0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Інформація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 та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документи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надаються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 про </w:t>
            </w:r>
            <w:proofErr w:type="spellStart"/>
            <w:proofErr w:type="gramStart"/>
            <w:r w:rsidRPr="002601D8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виконаний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 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договір</w:t>
            </w:r>
            <w:proofErr w:type="spellEnd"/>
            <w:proofErr w:type="gramEnd"/>
            <w:r w:rsidRPr="002601D8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дія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якого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закінчена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.</w:t>
            </w:r>
          </w:p>
        </w:tc>
      </w:tr>
    </w:tbl>
    <w:p w:rsidR="00452F29" w:rsidRPr="002601D8" w:rsidRDefault="00452F29" w:rsidP="00452F2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52F29" w:rsidRPr="002601D8" w:rsidRDefault="00452F29" w:rsidP="00452F29">
      <w:pPr>
        <w:widowControl w:val="0"/>
        <w:shd w:val="clear" w:color="auto" w:fill="FFFFFF"/>
        <w:spacing w:line="240" w:lineRule="auto"/>
        <w:ind w:left="751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F29" w:rsidRPr="002601D8" w:rsidRDefault="00452F29" w:rsidP="00452F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1D8">
        <w:rPr>
          <w:rFonts w:ascii="Times New Roman" w:eastAsia="Times New Roman" w:hAnsi="Times New Roman" w:cs="Times New Roman"/>
          <w:b/>
          <w:sz w:val="24"/>
          <w:szCs w:val="24"/>
        </w:rPr>
        <w:t>ПЕРЕЛІК ІНФОРМАЦІЇ, ЩО ПОДАЄТЬСЯ УЧАСНИКОМ (ПЕРЕМОЖЦЕМ) В СКЛАДІ ЙОГО ТЕНДЕРНОЇ ПРОПОЗИЦІЇ (У ВИГЛЯДІ ФАЙЛІВ), ТА ВИМОГИ ДО НЕЇ</w:t>
      </w:r>
    </w:p>
    <w:p w:rsidR="00452F29" w:rsidRPr="002601D8" w:rsidRDefault="00452F29" w:rsidP="00452F29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52F29" w:rsidRPr="002601D8" w:rsidRDefault="00452F29" w:rsidP="00452F2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52F29" w:rsidRPr="002601D8" w:rsidRDefault="00452F29" w:rsidP="00452F2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1D8">
        <w:rPr>
          <w:rFonts w:ascii="Times New Roman" w:eastAsia="Times New Roman" w:hAnsi="Times New Roman" w:cs="Times New Roman"/>
          <w:b/>
          <w:sz w:val="24"/>
          <w:szCs w:val="24"/>
        </w:rPr>
        <w:t xml:space="preserve">І. ПЕРЕЛІК ІНФОРМАЦІЇ, ЩО ВІДНОСИТЬСЯ </w:t>
      </w:r>
      <w:proofErr w:type="gramStart"/>
      <w:r w:rsidRPr="002601D8">
        <w:rPr>
          <w:rFonts w:ascii="Times New Roman" w:eastAsia="Times New Roman" w:hAnsi="Times New Roman" w:cs="Times New Roman"/>
          <w:b/>
          <w:sz w:val="24"/>
          <w:szCs w:val="24"/>
        </w:rPr>
        <w:t>ДО СКЛАДУ</w:t>
      </w:r>
      <w:proofErr w:type="gramEnd"/>
      <w:r w:rsidRPr="002601D8">
        <w:rPr>
          <w:rFonts w:ascii="Times New Roman" w:eastAsia="Times New Roman" w:hAnsi="Times New Roman" w:cs="Times New Roman"/>
          <w:b/>
          <w:sz w:val="24"/>
          <w:szCs w:val="24"/>
        </w:rPr>
        <w:t xml:space="preserve"> ТЕНДЕРНОЇ ПРОПОЗИЦІЇ ТА ПІДЛЯГАЄ ЗАВАНТАЖЕННЮ В ЕСЗ У ВИГЛЯДІ ФАЙЛІВ</w:t>
      </w:r>
    </w:p>
    <w:p w:rsidR="00452F29" w:rsidRPr="002601D8" w:rsidRDefault="00452F29" w:rsidP="00452F2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632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2"/>
        <w:gridCol w:w="5670"/>
      </w:tblGrid>
      <w:tr w:rsidR="00452F29" w:rsidRPr="002601D8" w:rsidTr="00675B0A">
        <w:tc>
          <w:tcPr>
            <w:tcW w:w="4962" w:type="dxa"/>
          </w:tcPr>
          <w:p w:rsidR="00452F29" w:rsidRPr="002601D8" w:rsidRDefault="00452F29" w:rsidP="0067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F29" w:rsidRPr="002601D8" w:rsidRDefault="00452F29" w:rsidP="0067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452F29" w:rsidRPr="002601D8" w:rsidTr="00675B0A">
        <w:trPr>
          <w:trHeight w:val="440"/>
        </w:trPr>
        <w:tc>
          <w:tcPr>
            <w:tcW w:w="4962" w:type="dxa"/>
          </w:tcPr>
          <w:p w:rsidR="00452F29" w:rsidRPr="002601D8" w:rsidRDefault="00452F29" w:rsidP="00452F29">
            <w:pPr>
              <w:numPr>
                <w:ilvl w:val="0"/>
                <w:numId w:val="2"/>
              </w:numPr>
              <w:spacing w:line="216" w:lineRule="auto"/>
              <w:ind w:left="311" w:hanging="28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Цінова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F29" w:rsidRPr="002601D8" w:rsidRDefault="00452F29" w:rsidP="00675B0A">
            <w:pPr>
              <w:spacing w:line="216" w:lineRule="auto"/>
              <w:ind w:left="151"/>
              <w:jc w:val="both"/>
              <w:rPr>
                <w:rFonts w:ascii="Times New Roman" w:eastAsia="Times New Roman" w:hAnsi="Times New Roman" w:cs="Times New Roman"/>
              </w:rPr>
            </w:pPr>
            <w:r w:rsidRPr="002601D8">
              <w:rPr>
                <w:rFonts w:ascii="Times New Roman" w:eastAsia="Times New Roman" w:hAnsi="Times New Roman" w:cs="Times New Roman"/>
              </w:rPr>
              <w:t xml:space="preserve">Документ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складається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за формою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Додатку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№ </w:t>
            </w:r>
            <w:r w:rsidRPr="002601D8"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 w:rsidRPr="002601D8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</w:p>
        </w:tc>
      </w:tr>
      <w:tr w:rsidR="00452F29" w:rsidRPr="002601D8" w:rsidTr="00675B0A">
        <w:trPr>
          <w:trHeight w:val="440"/>
        </w:trPr>
        <w:tc>
          <w:tcPr>
            <w:tcW w:w="4962" w:type="dxa"/>
          </w:tcPr>
          <w:p w:rsidR="00452F29" w:rsidRPr="002601D8" w:rsidRDefault="00452F29" w:rsidP="00452F29">
            <w:pPr>
              <w:numPr>
                <w:ilvl w:val="0"/>
                <w:numId w:val="2"/>
              </w:numPr>
              <w:spacing w:line="216" w:lineRule="auto"/>
              <w:ind w:left="27" w:hanging="2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підтверджує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відповідність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Технічним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якісним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кількісним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характеристикам, у тому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відповідною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технічною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специфікацією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предмета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зазначеною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Додатку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</w:t>
            </w:r>
            <w:r w:rsidRPr="002601D8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Pr="002601D8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F29" w:rsidRPr="002601D8" w:rsidRDefault="00452F29" w:rsidP="00675B0A">
            <w:pPr>
              <w:spacing w:line="216" w:lineRule="auto"/>
              <w:ind w:left="15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довільній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Додатку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№</w:t>
            </w:r>
            <w:r w:rsidRPr="002601D8">
              <w:rPr>
                <w:rFonts w:ascii="Times New Roman" w:eastAsia="Times New Roman" w:hAnsi="Times New Roman" w:cs="Times New Roman"/>
                <w:lang w:val="uk-UA"/>
              </w:rPr>
              <w:t xml:space="preserve">1 </w:t>
            </w:r>
            <w:r w:rsidRPr="002601D8">
              <w:rPr>
                <w:rFonts w:ascii="Times New Roman" w:eastAsia="Times New Roman" w:hAnsi="Times New Roman" w:cs="Times New Roman"/>
              </w:rPr>
              <w:t xml:space="preserve">до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</w:p>
        </w:tc>
      </w:tr>
      <w:tr w:rsidR="00452F29" w:rsidRPr="002601D8" w:rsidTr="00675B0A">
        <w:trPr>
          <w:trHeight w:val="440"/>
        </w:trPr>
        <w:tc>
          <w:tcPr>
            <w:tcW w:w="4962" w:type="dxa"/>
            <w:vMerge w:val="restart"/>
          </w:tcPr>
          <w:p w:rsidR="00452F29" w:rsidRPr="002601D8" w:rsidRDefault="00452F29" w:rsidP="00452F29">
            <w:pPr>
              <w:numPr>
                <w:ilvl w:val="0"/>
                <w:numId w:val="2"/>
              </w:numPr>
              <w:spacing w:line="216" w:lineRule="auto"/>
              <w:ind w:left="27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F29" w:rsidRPr="002601D8" w:rsidRDefault="00452F29" w:rsidP="00675B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юридичних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сканкопія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засновників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наказу (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розпорядчого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документу) про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підписуються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іншою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особою,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вищезазначених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довіреність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цій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підписувати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об'єднанням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учасників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обов'язково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включається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 про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об'єднання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2F29" w:rsidRPr="002601D8" w:rsidTr="00675B0A">
        <w:trPr>
          <w:trHeight w:val="440"/>
        </w:trPr>
        <w:tc>
          <w:tcPr>
            <w:tcW w:w="4962" w:type="dxa"/>
            <w:vMerge/>
          </w:tcPr>
          <w:p w:rsidR="00452F29" w:rsidRPr="002601D8" w:rsidRDefault="00452F29" w:rsidP="0067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F29" w:rsidRPr="002601D8" w:rsidRDefault="00452F29" w:rsidP="00675B0A">
            <w:pPr>
              <w:spacing w:line="240" w:lineRule="auto"/>
              <w:ind w:right="88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підприємців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сканований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осіб-підприємців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сканована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документу. У тому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підписуються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іншою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особою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особи-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скановану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нотаріально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довіреність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</w:p>
        </w:tc>
      </w:tr>
      <w:tr w:rsidR="00452F29" w:rsidRPr="002601D8" w:rsidTr="00675B0A">
        <w:trPr>
          <w:trHeight w:val="440"/>
        </w:trPr>
        <w:tc>
          <w:tcPr>
            <w:tcW w:w="4962" w:type="dxa"/>
          </w:tcPr>
          <w:p w:rsidR="00452F29" w:rsidRPr="002601D8" w:rsidRDefault="00452F29" w:rsidP="00452F29">
            <w:pPr>
              <w:numPr>
                <w:ilvl w:val="0"/>
                <w:numId w:val="2"/>
              </w:numPr>
              <w:spacing w:line="216" w:lineRule="auto"/>
              <w:ind w:left="2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Лист-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згода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F29" w:rsidRPr="002601D8" w:rsidRDefault="00452F29" w:rsidP="00675B0A">
            <w:pPr>
              <w:spacing w:line="216" w:lineRule="auto"/>
              <w:ind w:lef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Лист-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згода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викладен</w:t>
            </w: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ою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</w:p>
        </w:tc>
      </w:tr>
      <w:tr w:rsidR="00452F29" w:rsidRPr="002601D8" w:rsidTr="00675B0A">
        <w:trPr>
          <w:trHeight w:val="3357"/>
        </w:trPr>
        <w:tc>
          <w:tcPr>
            <w:tcW w:w="4962" w:type="dxa"/>
          </w:tcPr>
          <w:p w:rsidR="00452F29" w:rsidRPr="002601D8" w:rsidRDefault="00452F29" w:rsidP="00452F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кваліфікаційним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критеріям</w:t>
            </w:r>
            <w:proofErr w:type="spellEnd"/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F29" w:rsidRPr="002601D8" w:rsidRDefault="00452F29" w:rsidP="00675B0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за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в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повинна бути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установи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для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надавались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договору,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52F29" w:rsidRPr="002601D8" w:rsidRDefault="00452F29" w:rsidP="00675B0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додаються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підтвердні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довідці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видаткових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</w:t>
            </w: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договору.</w:t>
            </w:r>
          </w:p>
          <w:p w:rsidR="00452F29" w:rsidRPr="002601D8" w:rsidRDefault="00452F29" w:rsidP="00675B0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бути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повністю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виконаним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таким строк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його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бути</w:t>
            </w: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2F29" w:rsidRPr="002601D8" w:rsidTr="00675B0A">
        <w:tc>
          <w:tcPr>
            <w:tcW w:w="10632" w:type="dxa"/>
            <w:gridSpan w:val="2"/>
          </w:tcPr>
          <w:p w:rsidR="00452F29" w:rsidRPr="002601D8" w:rsidRDefault="00452F29" w:rsidP="00452F29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b/>
              </w:rPr>
              <w:t xml:space="preserve"> для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</w:rPr>
              <w:t>підтвердження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</w:rPr>
              <w:t>підстав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b/>
              </w:rPr>
              <w:t xml:space="preserve"> для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</w:rPr>
              <w:t>від</w:t>
            </w:r>
            <w:r>
              <w:rPr>
                <w:rFonts w:ascii="Times New Roman" w:eastAsia="Times New Roman" w:hAnsi="Times New Roman" w:cs="Times New Roman"/>
                <w:b/>
              </w:rPr>
              <w:t>хилення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УЧАСНИКА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</w:rPr>
              <w:t>вимог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</w:rPr>
              <w:t>визначених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proofErr w:type="gramStart"/>
            <w:r w:rsidRPr="002601D8">
              <w:rPr>
                <w:rFonts w:ascii="Times New Roman" w:eastAsia="Times New Roman" w:hAnsi="Times New Roman" w:cs="Times New Roman"/>
                <w:b/>
              </w:rPr>
              <w:t>пункті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b/>
              </w:rPr>
              <w:t xml:space="preserve">  47</w:t>
            </w:r>
            <w:proofErr w:type="gramEnd"/>
            <w:r w:rsidRPr="002601D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</w:p>
        </w:tc>
      </w:tr>
      <w:tr w:rsidR="00452F29" w:rsidRPr="002601D8" w:rsidTr="00675B0A">
        <w:trPr>
          <w:trHeight w:val="575"/>
        </w:trPr>
        <w:tc>
          <w:tcPr>
            <w:tcW w:w="4962" w:type="dxa"/>
          </w:tcPr>
          <w:p w:rsidR="00452F29" w:rsidRPr="002601D8" w:rsidRDefault="00452F29" w:rsidP="0067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відхилення</w:t>
            </w:r>
            <w:proofErr w:type="spellEnd"/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F29" w:rsidRPr="002601D8" w:rsidRDefault="00452F29" w:rsidP="0067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спосіб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відхилення</w:t>
            </w:r>
            <w:proofErr w:type="spellEnd"/>
          </w:p>
        </w:tc>
      </w:tr>
      <w:tr w:rsidR="00452F29" w:rsidRPr="002601D8" w:rsidTr="00675B0A">
        <w:trPr>
          <w:trHeight w:val="575"/>
        </w:trPr>
        <w:tc>
          <w:tcPr>
            <w:tcW w:w="4962" w:type="dxa"/>
          </w:tcPr>
          <w:p w:rsidR="00452F29" w:rsidRPr="002601D8" w:rsidRDefault="00452F29" w:rsidP="0067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внесено до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вчинили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F29" w:rsidRPr="002601D8" w:rsidRDefault="00452F29" w:rsidP="0067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Шляхом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заповнення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внесено до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вчинили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2F29" w:rsidRPr="002601D8" w:rsidTr="00675B0A">
        <w:trPr>
          <w:trHeight w:val="440"/>
        </w:trPr>
        <w:tc>
          <w:tcPr>
            <w:tcW w:w="4962" w:type="dxa"/>
          </w:tcPr>
          <w:p w:rsidR="00452F29" w:rsidRPr="002601D8" w:rsidRDefault="00452F29" w:rsidP="00675B0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3znysh7" w:colFirst="0" w:colLast="0"/>
            <w:bookmarkEnd w:id="1"/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F29" w:rsidRPr="002601D8" w:rsidRDefault="00452F29" w:rsidP="00675B0A">
            <w:pPr>
              <w:tabs>
                <w:tab w:val="left" w:pos="284"/>
              </w:tabs>
              <w:spacing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Шляхом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заповнення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</w:p>
        </w:tc>
      </w:tr>
      <w:tr w:rsidR="00452F29" w:rsidRPr="002601D8" w:rsidTr="00675B0A">
        <w:tc>
          <w:tcPr>
            <w:tcW w:w="4962" w:type="dxa"/>
          </w:tcPr>
          <w:p w:rsidR="00452F29" w:rsidRPr="002601D8" w:rsidRDefault="00452F29" w:rsidP="00675B0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останніх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притягувався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пунктом 4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 пунктом 1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Закону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антиконкурентних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узгоджених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стосуються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спотворення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F29" w:rsidRPr="002601D8" w:rsidRDefault="00452F29" w:rsidP="00675B0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Шляхом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заповнення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останніх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притягувався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пунктом 4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 пунктом 1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Закону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антиконкурентних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узгоджених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стосуються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спотворення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2F29" w:rsidRPr="002601D8" w:rsidTr="00675B0A">
        <w:tc>
          <w:tcPr>
            <w:tcW w:w="4962" w:type="dxa"/>
          </w:tcPr>
          <w:p w:rsidR="00452F29" w:rsidRPr="002601D8" w:rsidRDefault="00452F29" w:rsidP="00675B0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фізична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особа, яка є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 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F29" w:rsidRPr="002601D8" w:rsidRDefault="00452F29" w:rsidP="00675B0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Шляхом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заповнення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особа, яка є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не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судимості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2F29" w:rsidRPr="002601D8" w:rsidTr="00675B0A">
        <w:tc>
          <w:tcPr>
            <w:tcW w:w="4962" w:type="dxa"/>
          </w:tcPr>
          <w:p w:rsidR="00452F29" w:rsidRPr="002601D8" w:rsidRDefault="00452F29" w:rsidP="00675B0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був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засуджений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шахрайством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 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F29" w:rsidRPr="002601D8" w:rsidRDefault="00452F29" w:rsidP="00675B0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Шляхом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заповнення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був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засуджений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шахрайством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не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судимості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2F29" w:rsidRPr="002601D8" w:rsidTr="00675B0A">
        <w:tc>
          <w:tcPr>
            <w:tcW w:w="4962" w:type="dxa"/>
          </w:tcPr>
          <w:p w:rsidR="00452F29" w:rsidRPr="002601D8" w:rsidRDefault="00452F29" w:rsidP="00675B0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визнаний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встановленому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банкрутом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нього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ліквідаційна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процедура 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F29" w:rsidRPr="002601D8" w:rsidRDefault="00452F29" w:rsidP="00675B0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Шляхом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заповнення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визнаний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встановленому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банкрутом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нього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ліквідаційна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процедура.</w:t>
            </w:r>
          </w:p>
        </w:tc>
      </w:tr>
      <w:tr w:rsidR="00452F29" w:rsidRPr="002601D8" w:rsidTr="00675B0A">
        <w:tc>
          <w:tcPr>
            <w:tcW w:w="4962" w:type="dxa"/>
          </w:tcPr>
          <w:p w:rsidR="00452F29" w:rsidRPr="002601D8" w:rsidRDefault="00452F29" w:rsidP="00675B0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пунктом 9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Закону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нерезидентів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F29" w:rsidRPr="002601D8" w:rsidRDefault="00452F29" w:rsidP="00675B0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Шляхом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заповнення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пунктом 9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Закону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нерезидентів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2F29" w:rsidRPr="002601D8" w:rsidTr="00675B0A">
        <w:tc>
          <w:tcPr>
            <w:tcW w:w="4962" w:type="dxa"/>
          </w:tcPr>
          <w:p w:rsidR="00452F29" w:rsidRPr="002601D8" w:rsidRDefault="00452F29" w:rsidP="00675B0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особа, яка є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нерезидентів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не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антикорупційної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антикорупційної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(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дорівнює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перевищує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мільйонів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гривень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тому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лотом) 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F29" w:rsidRPr="002601D8" w:rsidRDefault="00452F29" w:rsidP="00675B0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Шляхом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заповнення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антикорупційну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антикорупційної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(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дорівнює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перевищує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мільйонів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гривень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тому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лотом).</w:t>
            </w:r>
          </w:p>
        </w:tc>
      </w:tr>
      <w:tr w:rsidR="00452F29" w:rsidRPr="002601D8" w:rsidTr="00675B0A">
        <w:tc>
          <w:tcPr>
            <w:tcW w:w="4962" w:type="dxa"/>
          </w:tcPr>
          <w:p w:rsidR="00452F29" w:rsidRPr="002601D8" w:rsidRDefault="00452F29" w:rsidP="00675B0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бенефіціарний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член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акціонер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—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особою, до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санкцію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заборони на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нею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F29" w:rsidRPr="002601D8" w:rsidRDefault="00452F29" w:rsidP="00675B0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Шляхом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заповнення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бенефіціарний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член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акціонер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—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 особою, до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санкцію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заборони на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нею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52F29" w:rsidRPr="002601D8" w:rsidTr="00675B0A">
        <w:tc>
          <w:tcPr>
            <w:tcW w:w="4962" w:type="dxa"/>
          </w:tcPr>
          <w:p w:rsidR="00452F29" w:rsidRPr="002601D8" w:rsidRDefault="00452F29" w:rsidP="00675B0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формами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людьми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F29" w:rsidRPr="002601D8" w:rsidRDefault="00452F29" w:rsidP="00675B0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Шляхом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заповнення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формами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людьми</w:t>
            </w: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52F29" w:rsidRPr="002601D8" w:rsidTr="00675B0A">
        <w:tc>
          <w:tcPr>
            <w:tcW w:w="4962" w:type="dxa"/>
          </w:tcPr>
          <w:p w:rsidR="00452F29" w:rsidRPr="002601D8" w:rsidRDefault="00452F29" w:rsidP="00675B0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 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F29" w:rsidRPr="002601D8" w:rsidRDefault="00452F29" w:rsidP="00675B0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були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2F29" w:rsidRPr="002601D8" w:rsidTr="00675B0A">
        <w:trPr>
          <w:trHeight w:val="530"/>
        </w:trPr>
        <w:tc>
          <w:tcPr>
            <w:tcW w:w="10632" w:type="dxa"/>
            <w:gridSpan w:val="2"/>
          </w:tcPr>
          <w:p w:rsidR="00452F29" w:rsidRPr="002601D8" w:rsidRDefault="00452F29" w:rsidP="00675B0A">
            <w:pPr>
              <w:spacing w:line="240" w:lineRule="auto"/>
              <w:ind w:left="93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b/>
              </w:rPr>
              <w:t>Інші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</w:rPr>
              <w:t>документи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452F29" w:rsidRPr="002601D8" w:rsidTr="00675B0A">
        <w:trPr>
          <w:trHeight w:val="1192"/>
        </w:trPr>
        <w:tc>
          <w:tcPr>
            <w:tcW w:w="4962" w:type="dxa"/>
          </w:tcPr>
          <w:p w:rsidR="00452F29" w:rsidRPr="002601D8" w:rsidRDefault="00452F29" w:rsidP="00452F29">
            <w:pPr>
              <w:numPr>
                <w:ilvl w:val="0"/>
                <w:numId w:val="2"/>
              </w:numPr>
              <w:spacing w:after="200"/>
              <w:ind w:left="34" w:firstLine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предметом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F29" w:rsidRPr="002601D8" w:rsidRDefault="00452F29" w:rsidP="00675B0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провадить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господарську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свого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статуту,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передбачають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2F29" w:rsidRPr="002601D8" w:rsidTr="00675B0A">
        <w:trPr>
          <w:trHeight w:val="1017"/>
        </w:trPr>
        <w:tc>
          <w:tcPr>
            <w:tcW w:w="4962" w:type="dxa"/>
          </w:tcPr>
          <w:p w:rsidR="00452F29" w:rsidRPr="002601D8" w:rsidRDefault="00452F29" w:rsidP="00452F29">
            <w:pPr>
              <w:numPr>
                <w:ilvl w:val="0"/>
                <w:numId w:val="2"/>
              </w:numPr>
              <w:spacing w:line="240" w:lineRule="auto"/>
              <w:ind w:left="2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співпраці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особами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Указами Президента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Закону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F29" w:rsidRPr="002601D8" w:rsidRDefault="00452F29" w:rsidP="00675B0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співпраці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фізичними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юридичними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Указами Президента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Закону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452F29" w:rsidRPr="002601D8" w:rsidTr="00675B0A">
        <w:trPr>
          <w:trHeight w:val="1017"/>
        </w:trPr>
        <w:tc>
          <w:tcPr>
            <w:tcW w:w="4962" w:type="dxa"/>
          </w:tcPr>
          <w:p w:rsidR="00452F29" w:rsidRPr="002601D8" w:rsidRDefault="00452F29" w:rsidP="00452F29">
            <w:pPr>
              <w:numPr>
                <w:ilvl w:val="0"/>
                <w:numId w:val="2"/>
              </w:numPr>
              <w:spacing w:line="240" w:lineRule="auto"/>
              <w:ind w:left="2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є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громадянином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Білорусь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тих,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проживають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юридичною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особою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створеною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зареєстрованою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законодавства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</w:rPr>
              <w:t>Російської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</w:rPr>
              <w:t>Федерації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2601D8">
              <w:rPr>
                <w:rFonts w:ascii="Times New Roman" w:hAnsi="Times New Roman" w:cs="Times New Roman"/>
              </w:rPr>
              <w:t>Республіки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Білорусь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2601D8">
              <w:rPr>
                <w:rFonts w:ascii="Times New Roman" w:hAnsi="Times New Roman" w:cs="Times New Roman"/>
              </w:rPr>
              <w:t>юридичною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особою, </w:t>
            </w:r>
            <w:proofErr w:type="spellStart"/>
            <w:r w:rsidRPr="002601D8">
              <w:rPr>
                <w:rFonts w:ascii="Times New Roman" w:hAnsi="Times New Roman" w:cs="Times New Roman"/>
              </w:rPr>
              <w:t>створеною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зареєстрованою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законодавства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кінцевим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бенефіціарним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власником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, членом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або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</w:rPr>
              <w:t>учасником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601D8">
              <w:rPr>
                <w:rFonts w:ascii="Times New Roman" w:hAnsi="Times New Roman" w:cs="Times New Roman"/>
              </w:rPr>
              <w:t>акціонером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2601D8">
              <w:rPr>
                <w:rFonts w:ascii="Times New Roman" w:hAnsi="Times New Roman" w:cs="Times New Roman"/>
              </w:rPr>
              <w:t>що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має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</w:rPr>
              <w:t>частку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в статутному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капіталі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10 і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більше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відсотків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01D8">
              <w:rPr>
                <w:rFonts w:ascii="Times New Roman" w:hAnsi="Times New Roman" w:cs="Times New Roman"/>
              </w:rPr>
              <w:t>якої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2601D8">
              <w:rPr>
                <w:rFonts w:ascii="Times New Roman" w:hAnsi="Times New Roman" w:cs="Times New Roman"/>
              </w:rPr>
              <w:t>Російська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</w:rPr>
              <w:t>Федерація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2601D8">
              <w:rPr>
                <w:rFonts w:ascii="Times New Roman" w:hAnsi="Times New Roman" w:cs="Times New Roman"/>
              </w:rPr>
              <w:t>Республіка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Білорусь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громадянин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</w:rPr>
              <w:t>Російської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</w:rPr>
              <w:t>Федерації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2601D8">
              <w:rPr>
                <w:rFonts w:ascii="Times New Roman" w:hAnsi="Times New Roman" w:cs="Times New Roman"/>
              </w:rPr>
              <w:t>Республіки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Білорусь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601D8">
              <w:rPr>
                <w:rFonts w:ascii="Times New Roman" w:hAnsi="Times New Roman" w:cs="Times New Roman"/>
              </w:rPr>
              <w:t>крім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тих, </w:t>
            </w:r>
            <w:proofErr w:type="spellStart"/>
            <w:r w:rsidRPr="002601D8">
              <w:rPr>
                <w:rFonts w:ascii="Times New Roman" w:hAnsi="Times New Roman" w:cs="Times New Roman"/>
              </w:rPr>
              <w:t>що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проживають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2601D8">
              <w:rPr>
                <w:rFonts w:ascii="Times New Roman" w:hAnsi="Times New Roman" w:cs="Times New Roman"/>
              </w:rPr>
              <w:t>території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законних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підставах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або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</w:rPr>
              <w:t>юридичною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особою, </w:t>
            </w:r>
            <w:proofErr w:type="spellStart"/>
            <w:r w:rsidRPr="002601D8">
              <w:rPr>
                <w:rFonts w:ascii="Times New Roman" w:hAnsi="Times New Roman" w:cs="Times New Roman"/>
              </w:rPr>
              <w:t>створеною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зареєстрованою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законодавства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</w:rPr>
              <w:t>Російської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</w:rPr>
              <w:t>Федерації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2601D8">
              <w:rPr>
                <w:rFonts w:ascii="Times New Roman" w:hAnsi="Times New Roman" w:cs="Times New Roman"/>
              </w:rPr>
              <w:t>Республіки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Білорусь</w:t>
            </w:r>
            <w:proofErr w:type="spellEnd"/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F29" w:rsidRPr="002601D8" w:rsidRDefault="00452F29" w:rsidP="00675B0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бенефіціарний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член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акціонер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статутному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і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громадянином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Білорусь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проживає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52F29" w:rsidRPr="002601D8" w:rsidRDefault="00452F29" w:rsidP="00675B0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громадянина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колишнього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СРСР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зразка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1974 року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відмітку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прописку на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зареєстрували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свій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паспорт</w:t>
            </w: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посвідку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військовий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квиток,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виданий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іноземцю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громадянства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уклали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 про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Збройних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Силах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гвардії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біженця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притулку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</w:p>
        </w:tc>
      </w:tr>
      <w:tr w:rsidR="00452F29" w:rsidRPr="002601D8" w:rsidTr="00675B0A">
        <w:trPr>
          <w:trHeight w:val="1017"/>
        </w:trPr>
        <w:tc>
          <w:tcPr>
            <w:tcW w:w="4962" w:type="dxa"/>
          </w:tcPr>
          <w:p w:rsidR="00452F29" w:rsidRPr="002601D8" w:rsidRDefault="00452F29" w:rsidP="00452F29">
            <w:pPr>
              <w:numPr>
                <w:ilvl w:val="0"/>
                <w:numId w:val="2"/>
              </w:numPr>
              <w:spacing w:line="240" w:lineRule="auto"/>
              <w:ind w:left="2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знаходиться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окупованій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F29" w:rsidRPr="002601D8" w:rsidRDefault="00452F29" w:rsidP="00675B0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зареєстрований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окупованій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податкової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іншу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територію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видане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уповноваженим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органом.</w:t>
            </w:r>
          </w:p>
        </w:tc>
      </w:tr>
      <w:tr w:rsidR="00452F29" w:rsidRPr="002601D8" w:rsidTr="00675B0A">
        <w:trPr>
          <w:trHeight w:val="1017"/>
        </w:trPr>
        <w:tc>
          <w:tcPr>
            <w:tcW w:w="4962" w:type="dxa"/>
          </w:tcPr>
          <w:p w:rsidR="00452F29" w:rsidRPr="002601D8" w:rsidRDefault="00452F29" w:rsidP="00452F29">
            <w:pPr>
              <w:numPr>
                <w:ilvl w:val="0"/>
                <w:numId w:val="2"/>
              </w:numPr>
              <w:spacing w:line="240" w:lineRule="auto"/>
              <w:ind w:left="2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F29" w:rsidRPr="002601D8" w:rsidRDefault="00452F29" w:rsidP="00675B0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запропонований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 не є товаром,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походить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Білорусь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52F29" w:rsidRPr="002601D8" w:rsidRDefault="00452F29" w:rsidP="00452F29">
      <w:pPr>
        <w:tabs>
          <w:tab w:val="left" w:pos="284"/>
        </w:tabs>
        <w:spacing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F29" w:rsidRPr="002601D8" w:rsidRDefault="00452F29" w:rsidP="00452F29">
      <w:pPr>
        <w:tabs>
          <w:tab w:val="left" w:pos="284"/>
        </w:tabs>
        <w:spacing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F29" w:rsidRPr="002601D8" w:rsidRDefault="00452F29" w:rsidP="00452F2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1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ІІ. ПЕРЕЛІК ДОКУМЕНТІВ, ЩО НАДАЮТЬСЯ УЧАСНИКОМ-ПЕРЕМОЖЦЕМ</w:t>
      </w:r>
    </w:p>
    <w:p w:rsidR="00452F29" w:rsidRPr="002601D8" w:rsidRDefault="00452F29" w:rsidP="00452F29">
      <w:pPr>
        <w:tabs>
          <w:tab w:val="left" w:pos="284"/>
        </w:tabs>
        <w:spacing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F29" w:rsidRPr="002601D8" w:rsidRDefault="00452F29" w:rsidP="00452F29">
      <w:pPr>
        <w:widowControl w:val="0"/>
        <w:tabs>
          <w:tab w:val="left" w:pos="0"/>
          <w:tab w:val="center" w:pos="4153"/>
          <w:tab w:val="right" w:pos="830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Переможець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у строк,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перевищує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чотири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дні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, повинен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завантаження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накладається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електронний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підпис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(КЕП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УЕП)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уповноваженої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особи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підпунктах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3, 5, 6 і 12 та в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чотирнадцятому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пункту 47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2F29" w:rsidRPr="002601D8" w:rsidRDefault="00452F29" w:rsidP="00452F29">
      <w:pPr>
        <w:widowControl w:val="0"/>
        <w:numPr>
          <w:ilvl w:val="0"/>
          <w:numId w:val="1"/>
        </w:numPr>
        <w:tabs>
          <w:tab w:val="left" w:pos="0"/>
          <w:tab w:val="right" w:pos="426"/>
          <w:tab w:val="left" w:pos="1418"/>
          <w:tab w:val="left" w:pos="1985"/>
        </w:tabs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601D8">
        <w:rPr>
          <w:rFonts w:ascii="Times New Roman" w:eastAsia="Times New Roman" w:hAnsi="Times New Roman" w:cs="Times New Roman"/>
          <w:sz w:val="24"/>
          <w:szCs w:val="24"/>
        </w:rPr>
        <w:t>пункту</w:t>
      </w:r>
      <w:proofErr w:type="gram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47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переможець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витяг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довідку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Єдиного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реєстру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вчинили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корупційні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правопорушення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про те,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відомості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керівника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фізичну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особу, яка є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, не внесено до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Єдиного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реєстру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вчинили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корупційні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пов’язані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корупцією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правопорушення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2F29" w:rsidRPr="002601D8" w:rsidRDefault="00452F29" w:rsidP="00452F29">
      <w:pPr>
        <w:widowControl w:val="0"/>
        <w:numPr>
          <w:ilvl w:val="0"/>
          <w:numId w:val="1"/>
        </w:numPr>
        <w:tabs>
          <w:tab w:val="left" w:pos="0"/>
          <w:tab w:val="left" w:pos="426"/>
          <w:tab w:val="left" w:pos="1701"/>
          <w:tab w:val="right" w:pos="8306"/>
        </w:tabs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*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Переможець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повний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витяг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інформаційно-аналітичної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Облік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відомостей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притягнення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особи до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кримінальної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судимості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» про те,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керівник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фізична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особа, яка є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, до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кримінальної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притягується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незнятої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непогашеної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судимості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та в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розшуку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2F29" w:rsidRPr="002601D8" w:rsidRDefault="00452F29" w:rsidP="00452F29">
      <w:pPr>
        <w:widowControl w:val="0"/>
        <w:numPr>
          <w:ilvl w:val="0"/>
          <w:numId w:val="1"/>
        </w:numPr>
        <w:tabs>
          <w:tab w:val="left" w:pos="0"/>
          <w:tab w:val="center" w:pos="4153"/>
          <w:tab w:val="right" w:pos="8306"/>
        </w:tabs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*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Довідка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довільній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про те,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раніше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укладено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договорів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виконав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раніше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укладеним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договором про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були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відсутні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призвели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б до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дострокового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і до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санкції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вигляді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штрафів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надає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вжиття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доведення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надійності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незважаючи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процедурі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2F29" w:rsidRPr="002601D8" w:rsidRDefault="00452F29" w:rsidP="00452F29">
      <w:pPr>
        <w:widowControl w:val="0"/>
        <w:tabs>
          <w:tab w:val="left" w:pos="0"/>
          <w:tab w:val="center" w:pos="4153"/>
          <w:tab w:val="right" w:pos="8306"/>
        </w:tabs>
        <w:ind w:left="142" w:firstLine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01D8">
        <w:rPr>
          <w:rFonts w:ascii="Times New Roman" w:eastAsia="Times New Roman" w:hAnsi="Times New Roman" w:cs="Times New Roman"/>
          <w:b/>
          <w:i/>
          <w:sz w:val="24"/>
          <w:szCs w:val="24"/>
        </w:rPr>
        <w:t>*</w:t>
      </w:r>
      <w:proofErr w:type="spellStart"/>
      <w:r w:rsidRPr="002601D8">
        <w:rPr>
          <w:rFonts w:ascii="Times New Roman" w:eastAsia="Times New Roman" w:hAnsi="Times New Roman" w:cs="Times New Roman"/>
          <w:b/>
          <w:i/>
          <w:sz w:val="24"/>
          <w:szCs w:val="24"/>
        </w:rPr>
        <w:t>Документи</w:t>
      </w:r>
      <w:proofErr w:type="spellEnd"/>
      <w:r w:rsidRPr="002601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b/>
          <w:i/>
          <w:sz w:val="24"/>
          <w:szCs w:val="24"/>
        </w:rPr>
        <w:t>мають</w:t>
      </w:r>
      <w:proofErr w:type="spellEnd"/>
      <w:r w:rsidRPr="002601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b/>
          <w:i/>
          <w:sz w:val="24"/>
          <w:szCs w:val="24"/>
        </w:rPr>
        <w:t>містити</w:t>
      </w:r>
      <w:proofErr w:type="spellEnd"/>
      <w:r w:rsidRPr="002601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b/>
          <w:i/>
          <w:sz w:val="24"/>
          <w:szCs w:val="24"/>
        </w:rPr>
        <w:t>інформацію</w:t>
      </w:r>
      <w:proofErr w:type="spellEnd"/>
      <w:r w:rsidRPr="002601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станом на дату не </w:t>
      </w:r>
      <w:proofErr w:type="spellStart"/>
      <w:r w:rsidRPr="002601D8">
        <w:rPr>
          <w:rFonts w:ascii="Times New Roman" w:eastAsia="Times New Roman" w:hAnsi="Times New Roman" w:cs="Times New Roman"/>
          <w:b/>
          <w:i/>
          <w:sz w:val="24"/>
          <w:szCs w:val="24"/>
        </w:rPr>
        <w:t>раніше</w:t>
      </w:r>
      <w:proofErr w:type="spellEnd"/>
      <w:r w:rsidRPr="002601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b/>
          <w:i/>
          <w:sz w:val="24"/>
          <w:szCs w:val="24"/>
        </w:rPr>
        <w:t>ніж</w:t>
      </w:r>
      <w:proofErr w:type="spellEnd"/>
      <w:r w:rsidRPr="002601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</w:t>
      </w:r>
      <w:proofErr w:type="spellStart"/>
      <w:r w:rsidRPr="002601D8">
        <w:rPr>
          <w:rFonts w:ascii="Times New Roman" w:eastAsia="Times New Roman" w:hAnsi="Times New Roman" w:cs="Times New Roman"/>
          <w:b/>
          <w:i/>
          <w:sz w:val="24"/>
          <w:szCs w:val="24"/>
        </w:rPr>
        <w:t>тридцять</w:t>
      </w:r>
      <w:proofErr w:type="spellEnd"/>
      <w:r w:rsidRPr="002601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b/>
          <w:i/>
          <w:sz w:val="24"/>
          <w:szCs w:val="24"/>
        </w:rPr>
        <w:t>днів</w:t>
      </w:r>
      <w:proofErr w:type="spellEnd"/>
      <w:r w:rsidRPr="002601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2601D8">
        <w:rPr>
          <w:rFonts w:ascii="Times New Roman" w:eastAsia="Times New Roman" w:hAnsi="Times New Roman" w:cs="Times New Roman"/>
          <w:b/>
          <w:i/>
          <w:sz w:val="24"/>
          <w:szCs w:val="24"/>
        </w:rPr>
        <w:t>дати</w:t>
      </w:r>
      <w:proofErr w:type="spellEnd"/>
      <w:r w:rsidRPr="002601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b/>
          <w:i/>
          <w:sz w:val="24"/>
          <w:szCs w:val="24"/>
        </w:rPr>
        <w:t>оприлюднення</w:t>
      </w:r>
      <w:proofErr w:type="spellEnd"/>
      <w:r w:rsidRPr="002601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proofErr w:type="spellEnd"/>
      <w:r w:rsidRPr="002601D8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452F29" w:rsidRPr="002601D8" w:rsidRDefault="00452F29" w:rsidP="00452F2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F29" w:rsidRPr="002601D8" w:rsidRDefault="00452F29" w:rsidP="00452F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1D8">
        <w:rPr>
          <w:rFonts w:ascii="Times New Roman" w:eastAsia="Times New Roman" w:hAnsi="Times New Roman" w:cs="Times New Roman"/>
          <w:b/>
          <w:sz w:val="24"/>
          <w:szCs w:val="24"/>
        </w:rPr>
        <w:t xml:space="preserve">ІІІ. ВИМОГИ ДО ІНФОРМАЦІЇ, ЩО ВІДНОСИТЬСЯ </w:t>
      </w:r>
      <w:proofErr w:type="gramStart"/>
      <w:r w:rsidRPr="002601D8">
        <w:rPr>
          <w:rFonts w:ascii="Times New Roman" w:eastAsia="Times New Roman" w:hAnsi="Times New Roman" w:cs="Times New Roman"/>
          <w:b/>
          <w:sz w:val="24"/>
          <w:szCs w:val="24"/>
        </w:rPr>
        <w:t>ДО СКЛАДУ</w:t>
      </w:r>
      <w:proofErr w:type="gramEnd"/>
      <w:r w:rsidRPr="002601D8">
        <w:rPr>
          <w:rFonts w:ascii="Times New Roman" w:eastAsia="Times New Roman" w:hAnsi="Times New Roman" w:cs="Times New Roman"/>
          <w:b/>
          <w:sz w:val="24"/>
          <w:szCs w:val="24"/>
        </w:rPr>
        <w:t xml:space="preserve"> ТЕНДЕРНОЇ ПРОПОЗИЦІЇ ТА ПІДЛЯГАЄ ЗАВАНТАЖЕННЮ В ЕСЗ У ВИГЛЯДІ ФАЙЛІВ</w:t>
      </w:r>
    </w:p>
    <w:p w:rsidR="00452F29" w:rsidRPr="002601D8" w:rsidRDefault="00452F29" w:rsidP="00452F29">
      <w:pPr>
        <w:widowControl w:val="0"/>
        <w:tabs>
          <w:tab w:val="left" w:pos="0"/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Документ и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завантажені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електронному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вигляді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(формат DOC, DOCX, PDF, JPG, BMP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інший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загальнодоступний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формат) через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електронну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систему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завантаження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окремо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кожний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документ)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накладається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електронний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підпис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(КЕП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УЕП)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уповноваженої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особи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52F29" w:rsidRPr="002601D8" w:rsidRDefault="00452F29" w:rsidP="00452F29">
      <w:pPr>
        <w:widowControl w:val="0"/>
        <w:tabs>
          <w:tab w:val="left" w:pos="0"/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(в тому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фізичної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особи та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-нерезидента)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передбачено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складання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певних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переліку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складі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надається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пояснення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обов’язковим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посиланням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норми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2F29" w:rsidRPr="002601D8" w:rsidRDefault="00452F29" w:rsidP="00452F29">
      <w:pPr>
        <w:widowControl w:val="0"/>
        <w:tabs>
          <w:tab w:val="left" w:pos="0"/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учасниками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іноземні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особи,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учасники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надавати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аналогічні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встановленим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тендерній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країни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реєстрації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такого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52F29" w:rsidRPr="002601D8" w:rsidRDefault="00452F29" w:rsidP="00452F29">
      <w:pPr>
        <w:widowControl w:val="0"/>
        <w:tabs>
          <w:tab w:val="left" w:pos="0"/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документального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тієї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вимоги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передбачено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складання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іншого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документу,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той,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вимагається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тендерній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, до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вищезазначеної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довідки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надається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засвідчена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печаткою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підписом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уповноваженої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особи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копія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відповідного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документу з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поясненнями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оформленими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вищезазначених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2F29" w:rsidRPr="002601D8" w:rsidRDefault="00452F29" w:rsidP="00452F29">
      <w:pPr>
        <w:widowControl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Філія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представництво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юридичної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особи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, коли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юридична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особа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надає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їй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повноваження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2F29" w:rsidRPr="002601D8" w:rsidRDefault="00452F29" w:rsidP="00452F29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01D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  <w:u w:val="single"/>
        </w:rPr>
        <w:t>разі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  <w:u w:val="single"/>
        </w:rPr>
        <w:t>подання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  <w:u w:val="single"/>
        </w:rPr>
        <w:t>пропозиції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  <w:u w:val="single"/>
        </w:rPr>
        <w:t>філією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  <w:u w:val="single"/>
        </w:rPr>
        <w:t>представництвом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  <w:u w:val="single"/>
        </w:rPr>
        <w:t>):</w:t>
      </w:r>
    </w:p>
    <w:p w:rsidR="00452F29" w:rsidRPr="002601D8" w:rsidRDefault="00452F29" w:rsidP="00452F29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- у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, коли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передбачено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філії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представництва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можливості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видачі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філії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представництву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певного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документу,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такий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документ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надається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юридичної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особи;</w:t>
      </w:r>
    </w:p>
    <w:p w:rsidR="00452F29" w:rsidRPr="002601D8" w:rsidRDefault="00452F29" w:rsidP="00452F2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1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усі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копії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наданих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складі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завантаження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засвідчуються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КЕП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УЕП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уповноваженої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особи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філії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представництва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52F29" w:rsidRPr="002601D8" w:rsidRDefault="00452F29" w:rsidP="00452F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</w:rPr>
      </w:pPr>
    </w:p>
    <w:p w:rsidR="00FA08BB" w:rsidRDefault="00FA08BB"/>
    <w:sectPr w:rsidR="00FA08BB" w:rsidSect="00940450">
      <w:pgSz w:w="11906" w:h="16838"/>
      <w:pgMar w:top="426" w:right="991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04295"/>
    <w:multiLevelType w:val="multilevel"/>
    <w:tmpl w:val="1B5CDC3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F04689"/>
    <w:multiLevelType w:val="multilevel"/>
    <w:tmpl w:val="64C0849C"/>
    <w:lvl w:ilvl="0">
      <w:start w:val="1"/>
      <w:numFmt w:val="decimal"/>
      <w:lvlText w:val="%1."/>
      <w:lvlJc w:val="left"/>
      <w:pPr>
        <w:ind w:left="930" w:hanging="57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29"/>
    <w:rsid w:val="00113F2B"/>
    <w:rsid w:val="00452F29"/>
    <w:rsid w:val="00FA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1EDF"/>
  <w15:chartTrackingRefBased/>
  <w15:docId w15:val="{C214FE04-3ACD-4CAE-95D0-023DB6E7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F29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11403</Words>
  <Characters>6500</Characters>
  <Application>Microsoft Office Word</Application>
  <DocSecurity>0</DocSecurity>
  <Lines>54</Lines>
  <Paragraphs>35</Paragraphs>
  <ScaleCrop>false</ScaleCrop>
  <Company/>
  <LinksUpToDate>false</LinksUpToDate>
  <CharactersWithSpaces>17868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2024-03-02T08:06:00Z</dcterms:created>
  <dcterms:modified xsi:type="dcterms:W3CDTF">2024-04-16T05:07:00Z</dcterms:modified>
</cp:coreProperties>
</file>