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B1" w:rsidRDefault="0021497E">
      <w:pPr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</w:t>
      </w:r>
    </w:p>
    <w:p w:rsidR="009D3BB1" w:rsidRDefault="0021497E">
      <w:pPr>
        <w:spacing w:after="0" w:line="240" w:lineRule="auto"/>
        <w:ind w:left="5660" w:firstLine="70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:rsidR="009D3BB1" w:rsidRDefault="0021497E">
      <w:pPr>
        <w:spacing w:after="0" w:line="240" w:lineRule="auto"/>
        <w:ind w:left="5660" w:firstLine="70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</w:p>
    <w:p w:rsidR="009D3BB1" w:rsidRDefault="0021497E">
      <w:pPr>
        <w:spacing w:after="0" w:line="240" w:lineRule="auto"/>
        <w:ind w:left="5660" w:firstLine="7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9D3BB1" w:rsidRDefault="0021497E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Перелік документів та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інформації  для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підтвердження відповідності УЧАСНИКА  кваліфікаційним критеріям, визначеним у статті 16 Закону «Про публічні закупівлі»:</w:t>
      </w:r>
    </w:p>
    <w:p w:rsidR="009D3BB1" w:rsidRDefault="009D3BB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7"/>
        <w:tblW w:w="9619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489"/>
        <w:gridCol w:w="1910"/>
        <w:gridCol w:w="7220"/>
      </w:tblGrid>
      <w:tr w:rsidR="009D3BB1">
        <w:trPr>
          <w:trHeight w:val="690"/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1" w:rsidRDefault="0021497E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1" w:rsidRDefault="0021497E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критерії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BB1" w:rsidRDefault="0021497E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Документи 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інформація, які підтверджують відповідність Учасника кваліфікаційним критеріям**</w:t>
            </w:r>
          </w:p>
        </w:tc>
      </w:tr>
      <w:tr w:rsidR="009D3BB1">
        <w:trPr>
          <w:trHeight w:val="1056"/>
          <w:jc w:val="center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На підтвердження досвіду виконання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аналогічного (аналогічних) за предметом закупівлі договору (договорів) Учасник має надати:</w:t>
            </w:r>
          </w:p>
          <w:p w:rsidR="009D3BB1" w:rsidRDefault="00214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не менше 1 копії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аналогічного (аналогічних) за предметом закупівлі договору (договорів)*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D3BB1" w:rsidRDefault="009D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BB1" w:rsidRDefault="00214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Аналогічним вважається договір на поставку природного газу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(газового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палива).</w:t>
            </w:r>
          </w:p>
          <w:p w:rsidR="009D3BB1" w:rsidRDefault="00214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Аналогічний договір може надаватися без додатків, специфікацій, додаткових угод, тощо до аналогічного договору, які зазначені в ньому як невід’ємні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частини  договору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Їх відсутність не буде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вважатись  невідповідністю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тендерної пропозиції  учасника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9D3BB1" w:rsidRDefault="009D3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3BB1" w:rsidRDefault="0021497E">
      <w:pPr>
        <w:spacing w:before="240"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9D3BB1" w:rsidRDefault="0021497E">
      <w:pPr>
        <w:spacing w:before="120" w:after="24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**Для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(наявність 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бладнання, матеріально-технічної бази та технологій)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і 2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(наявність працівників відповідної кваліфікації, які мають необхідні знання та досвід)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частини другої статті 16 Закону замовником не застосовуються.</w:t>
      </w:r>
    </w:p>
    <w:p w:rsidR="009D3BB1" w:rsidRDefault="009D3BB1">
      <w:pPr>
        <w:spacing w:before="20" w:after="20" w:line="240" w:lineRule="auto"/>
        <w:ind w:firstLine="720"/>
        <w:jc w:val="both"/>
        <w:rPr>
          <w:sz w:val="24"/>
          <w:szCs w:val="24"/>
        </w:rPr>
      </w:pPr>
    </w:p>
    <w:p w:rsidR="009D3BB1" w:rsidRDefault="0021497E">
      <w:pPr>
        <w:spacing w:before="20" w:after="2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Підтвердження відповідності УЧАСНИКА (в тому 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ислі для об’єднання учасників як учасника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процедури)  вимогам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9D3BB1" w:rsidRDefault="0021497E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жують відсутність підстав, визначених у пункті 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шістнадцятого пункту 47 Особливостей.</w:t>
      </w:r>
    </w:p>
    <w:p w:rsidR="009D3BB1" w:rsidRDefault="0021497E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Учасник процедури закупівлі підтверджує відсутність підстав, зазначених в пункті 47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 подання тендерної пропозиції.</w:t>
      </w:r>
    </w:p>
    <w:p w:rsidR="009D3BB1" w:rsidRDefault="0021497E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ого пункту.</w:t>
      </w:r>
    </w:p>
    <w:p w:rsidR="009D3BB1" w:rsidRDefault="0021497E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Учасник  повинен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надати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щодо відсутності підстави для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4"/>
          <w:szCs w:val="24"/>
        </w:rPr>
        <w:t>Особливостей. Учасник процедури закупівлі, що перебуває в обст</w:t>
      </w:r>
      <w:r>
        <w:rPr>
          <w:rFonts w:ascii="Times New Roman" w:eastAsia="Times New Roman" w:hAnsi="Times New Roman" w:cs="Times New Roman"/>
          <w:sz w:val="24"/>
          <w:szCs w:val="24"/>
        </w:rPr>
        <w:t>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він сплатив або зобов’язався сплатити 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закупівлі.</w:t>
      </w:r>
    </w:p>
    <w:p w:rsidR="009D3BB1" w:rsidRDefault="0021497E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Якщо на момент подання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9D3BB1" w:rsidRDefault="009D3B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3BB1" w:rsidRDefault="009D3B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3BB1" w:rsidRDefault="0021497E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Перелік документів та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інформації  для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підтвердження відповідності ПЕРЕМОЖЦЯ вимогам, визначеним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9D3BB1" w:rsidRDefault="0021497E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Переможець процедури закупівлі у строк, що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9D3BB1" w:rsidRDefault="009D3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D3BB1" w:rsidRDefault="0021497E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3.1. Документи, які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надаються  ПЕРЕМОЖЦЕМ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(юридичною особою):</w:t>
      </w:r>
    </w:p>
    <w:tbl>
      <w:tblPr>
        <w:tblW w:w="9618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64"/>
        <w:gridCol w:w="4350"/>
        <w:gridCol w:w="4504"/>
      </w:tblGrid>
      <w:tr w:rsidR="009D3BB1">
        <w:trPr>
          <w:trHeight w:val="1005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3BB1" w:rsidRDefault="0021497E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9D3BB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3BB1" w:rsidRDefault="0021497E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згідно п. 47 Особл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ивостей</w:t>
            </w:r>
          </w:p>
          <w:p w:rsidR="009D3BB1" w:rsidRDefault="009D3BB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9D3BB1">
        <w:trPr>
          <w:trHeight w:val="1723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widowControl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Керівника учасника процедури закупівлі, фізичну особу, яка є учасником процедури закупівлі, було притягнуто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згідно із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9D3BB1" w:rsidRDefault="00214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3 пункт 47 Особливостей)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after="0" w:line="276" w:lineRule="auto"/>
              <w:ind w:right="1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Перевіряється безпосередньо замовником самостійно, крім випадків, коли доступ до такої інформації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є обмеженим*.</w:t>
            </w:r>
          </w:p>
          <w:p w:rsidR="009D3BB1" w:rsidRDefault="0021497E">
            <w:pPr>
              <w:spacing w:after="0" w:line="254" w:lineRule="auto"/>
              <w:ind w:right="1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оцедури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закупівлі,на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виконання абзацу 15 пункту 47 Особливостей надається переможцем торгів.</w:t>
            </w:r>
          </w:p>
          <w:p w:rsidR="009D3BB1" w:rsidRDefault="0021497E">
            <w:pPr>
              <w:spacing w:after="0" w:line="240" w:lineRule="auto"/>
              <w:ind w:firstLine="284"/>
              <w:rPr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sz w:val="24"/>
                <w:szCs w:val="24"/>
                <w:highlight w:val="white"/>
                <w:lang w:eastAsia="ar-SA"/>
              </w:rPr>
              <w:t>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пов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sz w:val="24"/>
                <w:szCs w:val="24"/>
                <w:highlight w:val="white"/>
                <w:lang w:eastAsia="ar-SA"/>
              </w:rPr>
              <w:t>’язані з корупцією правопорушення, яка не стосується запитувача.</w:t>
            </w:r>
          </w:p>
        </w:tc>
      </w:tr>
      <w:tr w:rsidR="009D3BB1">
        <w:trPr>
          <w:trHeight w:val="2152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widowControl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 з якого не знято або не погашено в установленому законом порядку.</w:t>
            </w:r>
          </w:p>
          <w:p w:rsidR="009D3BB1" w:rsidRDefault="0021497E">
            <w:pPr>
              <w:spacing w:after="0" w:line="240" w:lineRule="auto"/>
              <w:ind w:right="1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6 пункт 47 Особливостей)</w:t>
            </w:r>
          </w:p>
        </w:tc>
        <w:tc>
          <w:tcPr>
            <w:tcW w:w="45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  <w:p w:rsidR="009D3BB1" w:rsidRDefault="00214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Документ повинен бути виданий/ сформова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ний/ отриманий в поточному році.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3BB1">
        <w:trPr>
          <w:trHeight w:val="2535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widowControl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будь-якими формами торгівлі людьми.</w:t>
            </w:r>
          </w:p>
          <w:p w:rsidR="009D3BB1" w:rsidRDefault="00214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12 пункт 47 Особливостей)</w:t>
            </w: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3BB1" w:rsidRDefault="009D3B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BB1">
        <w:trPr>
          <w:trHeight w:val="862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 для відмови в участі у відкритих торгах.  </w:t>
            </w:r>
          </w:p>
          <w:p w:rsidR="009D3BB1" w:rsidRDefault="00214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47 Особливостей)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after="348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закупівлі викон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язався сплатити відповідні зобов’язання та відшкодування завданих збитків. </w:t>
            </w:r>
          </w:p>
        </w:tc>
      </w:tr>
    </w:tbl>
    <w:p w:rsidR="009D3BB1" w:rsidRDefault="009D3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BB1" w:rsidRDefault="0021497E">
      <w:pPr>
        <w:spacing w:before="240"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Документи, які надаються ПЕРЕМОЖЦЕМ (фізичною особою чи фізичною особою — підприємцем):</w:t>
      </w:r>
    </w:p>
    <w:tbl>
      <w:tblPr>
        <w:tblW w:w="9619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586"/>
        <w:gridCol w:w="4428"/>
        <w:gridCol w:w="4605"/>
      </w:tblGrid>
      <w:tr w:rsidR="009D3BB1">
        <w:trPr>
          <w:trHeight w:val="82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3BB1" w:rsidRDefault="0021497E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9D3BB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3BB1" w:rsidRDefault="0021497E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згідно пункту 47 Особливостей</w:t>
            </w:r>
          </w:p>
          <w:p w:rsidR="009D3BB1" w:rsidRDefault="009D3BB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торгів на виконання вимоги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 пункту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 Особливостей (підтвердження відсутності підстав) повинен надати таку інформацію:</w:t>
            </w:r>
          </w:p>
        </w:tc>
      </w:tr>
      <w:tr w:rsidR="009D3BB1" w:rsidTr="0021497E">
        <w:trPr>
          <w:trHeight w:val="1723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widowControl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відповідальності за вчине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ння корупційного правопорушення або правопорушення, пов’язаного з корупцією.</w:t>
            </w:r>
          </w:p>
          <w:p w:rsidR="009D3BB1" w:rsidRDefault="00214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after="0" w:line="276" w:lineRule="auto"/>
              <w:ind w:right="1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9D3BB1" w:rsidRDefault="0021497E">
            <w:pPr>
              <w:spacing w:after="0" w:line="276" w:lineRule="auto"/>
              <w:ind w:right="1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процедури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виконання абзацу 15 пункту 47 Особливостей надається переможцем торгів.</w:t>
            </w:r>
          </w:p>
          <w:p w:rsidR="009D3BB1" w:rsidRDefault="0021497E">
            <w:pPr>
              <w:spacing w:after="0" w:line="276" w:lineRule="auto"/>
              <w:ind w:right="140"/>
              <w:jc w:val="both"/>
              <w:rPr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sz w:val="24"/>
                <w:szCs w:val="24"/>
                <w:highlight w:val="white"/>
                <w:lang w:eastAsia="ar-SA"/>
              </w:rPr>
              <w:t xml:space="preserve">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пов’язані з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sz w:val="24"/>
                <w:szCs w:val="24"/>
                <w:highlight w:val="white"/>
                <w:lang w:eastAsia="ar-SA"/>
              </w:rPr>
              <w:t>корупцією правопорушення, яка не стосується запитувача.</w:t>
            </w:r>
          </w:p>
        </w:tc>
      </w:tr>
      <w:tr w:rsidR="009D3BB1" w:rsidTr="0021497E">
        <w:trPr>
          <w:trHeight w:val="2152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widowControl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якої не знято або не погашено в установленому законом порядку.</w:t>
            </w:r>
          </w:p>
          <w:p w:rsidR="009D3BB1" w:rsidRDefault="0021497E">
            <w:pPr>
              <w:widowControl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3BB1" w:rsidRDefault="00214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9D3BB1" w:rsidRDefault="009D3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3BB1" w:rsidRDefault="00214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Документ повинен бути виданий/ сформ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ований/ отриманий в поточному році. </w:t>
            </w:r>
            <w:bookmarkStart w:id="0" w:name="_GoBack"/>
            <w:bookmarkEnd w:id="0"/>
          </w:p>
        </w:tc>
      </w:tr>
      <w:tr w:rsidR="009D3BB1" w:rsidTr="0021497E">
        <w:trPr>
          <w:trHeight w:val="1635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widowControl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будь-якими формами торгівлі людьми.</w:t>
            </w:r>
          </w:p>
          <w:p w:rsidR="009D3BB1" w:rsidRDefault="00214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3BB1" w:rsidRDefault="009D3BB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BB1" w:rsidTr="0021497E">
        <w:trPr>
          <w:trHeight w:val="4092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 для відмови в участі у відкритих торгах.  </w:t>
            </w:r>
          </w:p>
          <w:p w:rsidR="009D3BB1" w:rsidRDefault="00214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after="348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закупівлі викон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язався сплатити відповідні зобов’язання та відшкодування завданих збитків. </w:t>
            </w:r>
          </w:p>
        </w:tc>
      </w:tr>
    </w:tbl>
    <w:p w:rsidR="009D3BB1" w:rsidRDefault="009D3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BB1" w:rsidRDefault="009D3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BB1" w:rsidRDefault="0021497E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3BB1" w:rsidRDefault="0021497E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підприємців).</w:t>
      </w:r>
    </w:p>
    <w:tbl>
      <w:tblPr>
        <w:tblW w:w="9619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400"/>
        <w:gridCol w:w="9219"/>
      </w:tblGrid>
      <w:tr w:rsidR="009D3BB1">
        <w:trPr>
          <w:trHeight w:val="124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9D3BB1" w:rsidRDefault="0021497E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9D3BB1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9D3BB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before="240" w:after="0"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after="0" w:line="240" w:lineRule="auto"/>
              <w:ind w:left="100" w:right="120" w:hanging="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9D3BB1" w:rsidRDefault="0021497E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(Надається лише у разі, якщо отримання дозволу або ліцензії на провадження такого виду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господарської  діяльності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передбаче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 законом).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D3BB1" w:rsidRDefault="009D3B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3BB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before="240" w:after="0" w:line="240" w:lineRule="auto"/>
              <w:ind w:left="1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Pr="0021497E" w:rsidRDefault="0021497E">
            <w:pPr>
              <w:spacing w:after="0" w:line="240" w:lineRule="auto"/>
              <w:ind w:left="120" w:right="120" w:hanging="2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Документи, що підтверджують повноваження відповідної особи або представника Учасника процедури закупівлі щодо підпису документів тендерної пропозиції. Повноваження щодо підпису документів тендерної пропозиції учасника процедури закупівлі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підтверджується: випискою з протоколу засновників або наказом про призначення, або довіреністю, або дорученням або іншим документом, що підтверджує повноваження посадової особи учасника на підписання документів тендерної пропозиції (один із таких документі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 за вибором учасника, повинен бути наданий у складі тендерної документації);</w:t>
            </w:r>
          </w:p>
          <w:p w:rsidR="009D3BB1" w:rsidRPr="0021497E" w:rsidRDefault="0021497E">
            <w:pPr>
              <w:spacing w:after="0" w:line="240" w:lineRule="auto"/>
              <w:ind w:left="120" w:right="120" w:hanging="2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разі якщо тендерна пропозиція підписується учасником, який є фізичною особою чи фізичною особою – підприємцем, подання вищезазначених документів у складі тендерної пропозиції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 вимагається.</w:t>
            </w:r>
          </w:p>
          <w:p w:rsidR="009D3BB1" w:rsidRDefault="009D3BB1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D3BB1" w:rsidRDefault="0021497E">
            <w:pPr>
              <w:spacing w:after="0" w:line="240" w:lineRule="auto"/>
              <w:ind w:left="120" w:right="120" w:hanging="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  Статут або інший  установчий документ (зі змінами), за підписом  уповноваженої  особи Учасника та печаткою (за наявності). Вимоги до статуту - статут повинен містити відмітку державного реєстратора про проведення державної реєстрації (у випадку відсутн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ості відмітки державного реєстратора Учасник повинен надати інформацію 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кодом доступу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результатів надання адміністративних послуг у сфері державної реєстрації, за яким існує можливість переглянути електронну версію документу (ів));</w:t>
            </w:r>
          </w:p>
          <w:p w:rsidR="009D3BB1" w:rsidRDefault="009D3BB1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D3BB1" w:rsidRDefault="0021497E">
            <w:pPr>
              <w:spacing w:after="0" w:line="240" w:lineRule="auto"/>
              <w:ind w:left="120" w:right="120" w:hanging="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витягу з реєстр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платників ПДВ або свідоцтва про реєстрацію платника ПДВ, у разі, якщо Учасник є платником цього податку;</w:t>
            </w:r>
          </w:p>
          <w:p w:rsidR="009D3BB1" w:rsidRDefault="0021497E">
            <w:pPr>
              <w:spacing w:after="0" w:line="240" w:lineRule="auto"/>
              <w:ind w:left="120" w:right="120" w:hanging="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витягу з реєстру платників єдиного податку або свідоцтва про реєстрацію платника єдиного податку, у разі, якщо Учасник є платником цього податку;</w:t>
            </w:r>
          </w:p>
          <w:p w:rsidR="009D3BB1" w:rsidRPr="0021497E" w:rsidRDefault="0021497E">
            <w:pPr>
              <w:spacing w:after="0" w:line="240" w:lineRule="auto"/>
              <w:ind w:left="120" w:right="120" w:hanging="2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В разі, якщо Учасник застосовує систему оподаткування відмінну від систем платників податків, зазначених вище, Учасник має надати роз’яснення, стосовно системи оподаткування, на який він перебуває, із наданням документів, що підтверджують використ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ання такого способу оподаткування (реєстраційні, тощо);</w:t>
            </w:r>
          </w:p>
          <w:p w:rsidR="009D3BB1" w:rsidRPr="0021497E" w:rsidRDefault="0021497E">
            <w:pPr>
              <w:spacing w:after="0" w:line="240" w:lineRule="auto"/>
              <w:ind w:left="120" w:right="120" w:hanging="2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 Виписка / Витяг / Відомості з Єдиного державного реєстру юридичних осіб та фізичних осіб-підприємців та громадських формувань, видану юридичні особі.</w:t>
            </w:r>
          </w:p>
          <w:p w:rsidR="009D3BB1" w:rsidRDefault="0021497E">
            <w:pPr>
              <w:spacing w:after="0" w:line="240" w:lineRule="auto"/>
              <w:ind w:left="120" w:right="120" w:hanging="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інших документів, необхідність подання яких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складі тендерної пропозиції передбачена умовами цієї документації.</w:t>
            </w:r>
          </w:p>
          <w:p w:rsidR="009D3BB1" w:rsidRDefault="009D3BB1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D3BB1" w:rsidRDefault="009D3BB1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D3BB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before="240"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BB1" w:rsidRDefault="0021497E">
            <w:pPr>
              <w:spacing w:after="0" w:line="276" w:lineRule="auto"/>
              <w:ind w:firstLine="56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виконання вимоги абзацу 8 підпункту 1 пункту 44 Особливостей у разі якщо Учасник, який є громадянином Російської Федерації/Республіки Білорусь/Ісламської Республіки Іран або юридична особа, в якій кінцевим бенефіціарним власником, членом або учасником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акціонером), що має частку в статутному капіталі 10 і більше відсотків, є громадянин Російської Федерації/Республіки Білорусь/Ісламської Республіки Іран, надає у складі тендерної пропозиції один із документів, що підтверджує проживання на території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такою особою на законних підставах, відповідно до статті 1 Закону України “Про громадянство України”, а саме: </w:t>
            </w:r>
          </w:p>
          <w:p w:rsidR="009D3BB1" w:rsidRDefault="0021497E">
            <w:pPr>
              <w:spacing w:after="0" w:line="276" w:lineRule="auto"/>
              <w:ind w:firstLine="56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 паспорт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громадянина колишнього СРСР зразка 1974 року, де міститься відмітка про постійну чи тимчасову прописку на території України;</w:t>
            </w:r>
          </w:p>
          <w:p w:rsidR="009D3BB1" w:rsidRDefault="0021497E">
            <w:pPr>
              <w:spacing w:after="0" w:line="276" w:lineRule="auto"/>
              <w:ind w:firstLine="56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реєст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території України такою особою свого національного паспорту;</w:t>
            </w:r>
          </w:p>
          <w:p w:rsidR="009D3BB1" w:rsidRDefault="0021497E">
            <w:pPr>
              <w:spacing w:after="0" w:line="276" w:lineRule="auto"/>
              <w:ind w:firstLine="56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 посвідка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постійне чи тимчасове проживання на території України;</w:t>
            </w:r>
          </w:p>
          <w:p w:rsidR="009D3BB1" w:rsidRDefault="0021497E">
            <w:pPr>
              <w:spacing w:after="0" w:line="276" w:lineRule="auto"/>
              <w:ind w:firstLine="56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військовий квиток, виданий такій особі, яка в установленому порядку уклали контракт про проходження військової 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жби у Збройних Силах України, Державній спеціальній службі транспорту або Національній гвардії України;</w:t>
            </w:r>
          </w:p>
          <w:p w:rsidR="009D3BB1" w:rsidRDefault="0021497E">
            <w:pPr>
              <w:spacing w:after="0" w:line="276" w:lineRule="auto"/>
              <w:ind w:firstLine="56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 посвідчення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біженця чи документ, що підтверджує надання притулку в Україні.</w:t>
            </w:r>
          </w:p>
          <w:p w:rsidR="009D3BB1" w:rsidRDefault="0021497E">
            <w:pPr>
              <w:spacing w:after="0" w:line="276" w:lineRule="auto"/>
              <w:ind w:firstLine="56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- юридична особа, що утворена та зареєстрована відповідно до зако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нодавства України, в якій кінцевим бенефіціарним власником, членом або учасником (акціонером), є громадянин Російської Федерації/Республіки Білорусь/Ісламської Республіки Іран, активи якого в установленому законодавством порядку передані в управління АРМА,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надає документ, який підтверджує передачу цих активів.</w:t>
            </w:r>
          </w:p>
          <w:p w:rsidR="009D3BB1" w:rsidRDefault="0021497E">
            <w:pPr>
              <w:spacing w:after="0" w:line="276" w:lineRule="auto"/>
              <w:ind w:firstLine="56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3BB1" w:rsidRDefault="009D3BB1">
            <w:pPr>
              <w:spacing w:after="0" w:line="276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BB1" w:rsidRDefault="009D3BB1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D3BB1" w:rsidRDefault="009D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D3BB1">
      <w:pgSz w:w="11906" w:h="16838"/>
      <w:pgMar w:top="850" w:right="850" w:bottom="850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5E2A"/>
    <w:multiLevelType w:val="multilevel"/>
    <w:tmpl w:val="56BE47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C91761"/>
    <w:multiLevelType w:val="multilevel"/>
    <w:tmpl w:val="4D203F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B1"/>
    <w:rsid w:val="0021497E"/>
    <w:rsid w:val="009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C00F6-4A2B-4410-8C31-E1F2A419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character" w:customStyle="1" w:styleId="rvts0">
    <w:name w:val="rvts0"/>
    <w:qFormat/>
    <w:rsid w:val="00AB0207"/>
    <w:rPr>
      <w:rFonts w:cs="Times New Roman"/>
    </w:rPr>
  </w:style>
  <w:style w:type="paragraph" w:styleId="a4">
    <w:name w:val="Title"/>
    <w:basedOn w:val="a"/>
    <w:next w:val="a5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b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2"/>
    <w:rsid w:val="00D9242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XcV8eeJvfsxMghv6bz8rmucVtnA==">CgMxLjA4AHIhMXRNaWJFTzhUQ01QNjdLbWlZUjJLbTdTVThyd1lFOVF6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dc:description/>
  <cp:lastModifiedBy>Admin</cp:lastModifiedBy>
  <cp:revision>2</cp:revision>
  <dcterms:created xsi:type="dcterms:W3CDTF">2024-03-28T15:26:00Z</dcterms:created>
  <dcterms:modified xsi:type="dcterms:W3CDTF">2024-03-28T15:26:00Z</dcterms:modified>
  <dc:language>ru-RU</dc:language>
</cp:coreProperties>
</file>