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7CAE4BF1" w14:textId="77777777" w:rsidR="00C25E20" w:rsidRDefault="00DA7F28" w:rsidP="00C25E20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C25E20" w:rsidRPr="00C25E2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Класифікатор та його відповідний код: ДК 021:2015:15550000-8: Молочні продукти різні (Кефір, сметана) </w:t>
      </w:r>
    </w:p>
    <w:p w14:paraId="7C38AF3A" w14:textId="73474748" w:rsidR="00DA6EC6" w:rsidRPr="009B26BF" w:rsidRDefault="00DA6EC6" w:rsidP="00C25E20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r w:rsidR="00EF0648" w:rsidRPr="00EF064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C4F76" w:rsidRPr="004C4F76">
        <w:rPr>
          <w:rFonts w:ascii="Times New Roman" w:hAnsi="Times New Roman"/>
          <w:b/>
          <w:color w:val="000000" w:themeColor="text1"/>
          <w:sz w:val="24"/>
          <w:szCs w:val="24"/>
        </w:rPr>
        <w:t>UA-2023-03-24-000243-a</w:t>
      </w:r>
      <w:bookmarkStart w:id="0" w:name="_GoBack"/>
      <w:bookmarkEnd w:id="0"/>
    </w:p>
    <w:p w14:paraId="67D7D457" w14:textId="46897808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5E20">
        <w:rPr>
          <w:rFonts w:ascii="Times New Roman" w:hAnsi="Times New Roman"/>
          <w:b/>
          <w:bCs/>
          <w:sz w:val="24"/>
          <w:szCs w:val="24"/>
        </w:rPr>
        <w:t>55890,00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( </w:t>
      </w:r>
      <w:r w:rsidR="00C25E20">
        <w:rPr>
          <w:rFonts w:ascii="Times New Roman" w:hAnsi="Times New Roman"/>
          <w:b/>
          <w:sz w:val="24"/>
          <w:szCs w:val="24"/>
        </w:rPr>
        <w:t>П’ятдесят п’ять тисяч вісімсот дев’яносто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355860CF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C25E20" w:rsidRPr="00C25E20">
        <w:rPr>
          <w:rFonts w:ascii="Times New Roman" w:hAnsi="Times New Roman"/>
          <w:b/>
          <w:sz w:val="24"/>
          <w:szCs w:val="24"/>
        </w:rPr>
        <w:t>55890,00 ( П’ятдесят п’ять тисяч вісімсот дев’яносто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86D9" w14:textId="77777777" w:rsidR="00111A25" w:rsidRDefault="00111A25" w:rsidP="00E20434">
      <w:pPr>
        <w:spacing w:after="0" w:line="240" w:lineRule="auto"/>
      </w:pPr>
      <w:r>
        <w:separator/>
      </w:r>
    </w:p>
  </w:endnote>
  <w:endnote w:type="continuationSeparator" w:id="0">
    <w:p w14:paraId="48F83A9F" w14:textId="77777777" w:rsidR="00111A25" w:rsidRDefault="00111A25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252F" w14:textId="77777777" w:rsidR="00111A25" w:rsidRDefault="00111A25" w:rsidP="00E20434">
      <w:pPr>
        <w:spacing w:after="0" w:line="240" w:lineRule="auto"/>
      </w:pPr>
      <w:r>
        <w:separator/>
      </w:r>
    </w:p>
  </w:footnote>
  <w:footnote w:type="continuationSeparator" w:id="0">
    <w:p w14:paraId="3A04B830" w14:textId="77777777" w:rsidR="00111A25" w:rsidRDefault="00111A25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11A25"/>
    <w:rsid w:val="001353E8"/>
    <w:rsid w:val="001521FE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1C8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4F76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16073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D37C5"/>
    <w:rsid w:val="00BD5187"/>
    <w:rsid w:val="00BE1836"/>
    <w:rsid w:val="00BF2E31"/>
    <w:rsid w:val="00BF56E6"/>
    <w:rsid w:val="00BF5C74"/>
    <w:rsid w:val="00C053F1"/>
    <w:rsid w:val="00C12816"/>
    <w:rsid w:val="00C2389E"/>
    <w:rsid w:val="00C25E20"/>
    <w:rsid w:val="00C33DB9"/>
    <w:rsid w:val="00C55930"/>
    <w:rsid w:val="00C675DC"/>
    <w:rsid w:val="00C70D45"/>
    <w:rsid w:val="00C83721"/>
    <w:rsid w:val="00C86785"/>
    <w:rsid w:val="00C90726"/>
    <w:rsid w:val="00CA1280"/>
    <w:rsid w:val="00CB5ED1"/>
    <w:rsid w:val="00CC2AB4"/>
    <w:rsid w:val="00D06517"/>
    <w:rsid w:val="00D12E29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EF0648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4F6A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4C08-1CDB-45B5-8F24-574E313D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36</cp:revision>
  <cp:lastPrinted>2019-01-14T10:46:00Z</cp:lastPrinted>
  <dcterms:created xsi:type="dcterms:W3CDTF">2023-02-09T11:55:00Z</dcterms:created>
  <dcterms:modified xsi:type="dcterms:W3CDTF">2023-03-24T06:34:00Z</dcterms:modified>
</cp:coreProperties>
</file>