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змін, що вносяться до тендерної документації </w:t>
      </w:r>
      <w:r>
        <w:rPr>
          <w:b/>
          <w:sz w:val="28"/>
          <w:szCs w:val="28"/>
        </w:rPr>
      </w:r>
    </w:p>
    <w:p>
      <w:pPr>
        <w:pBdr/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закупівлю товару</w:t>
      </w:r>
      <w:r>
        <w:rPr>
          <w:b/>
          <w:sz w:val="28"/>
          <w:szCs w:val="28"/>
        </w:rPr>
      </w:r>
    </w:p>
    <w:p>
      <w:pPr>
        <w:pBdr/>
        <w:tabs>
          <w:tab w:val="left" w:leader="none" w:pos="426"/>
        </w:tabs>
        <w:spacing w:line="480" w:lineRule="auto"/>
        <w:ind/>
        <w:jc w:val="center"/>
        <w:rPr>
          <w:sz w:val="20"/>
          <w:szCs w:val="20"/>
        </w:rPr>
      </w:pPr>
      <w:r>
        <w:rPr>
          <w:b/>
        </w:rPr>
        <w:t xml:space="preserve">код ДК 021:2015 -</w:t>
      </w:r>
      <w:r>
        <w:t xml:space="preserve"> </w:t>
      </w:r>
      <w:r>
        <w:rPr>
          <w:b/>
        </w:rPr>
        <w:t xml:space="preserve">39160000-1 Шкільні меблі </w:t>
      </w:r>
      <w:r>
        <w:rPr>
          <w:b/>
        </w:rPr>
        <w:t xml:space="preserve">(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Комплект навчального обладнання для кабінету біології</w:t>
      </w:r>
      <w:r/>
      <w:r>
        <w:rPr>
          <w:b/>
        </w:rPr>
      </w:r>
      <w:r>
        <w:rPr>
          <w:b/>
        </w:rPr>
        <w:t xml:space="preserve">)</w:t>
      </w:r>
      <w:r>
        <w:rPr>
          <w:sz w:val="20"/>
          <w:szCs w:val="20"/>
        </w:rPr>
      </w:r>
    </w:p>
    <w:tbl>
      <w:tblPr>
        <w:tblW w:w="1587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5"/>
        <w:gridCol w:w="6947"/>
      </w:tblGrid>
      <w:tr>
        <w:trPr>
          <w:trHeight w:val="20"/>
        </w:trPr>
        <w:tc>
          <w:tcPr>
            <w:tcBorders/>
            <w:tcW w:w="1985" w:type="dxa"/>
            <w:vAlign w:val="center"/>
            <w:textDirection w:val="lrTb"/>
            <w:noWrap w:val="false"/>
          </w:tcPr>
          <w:p>
            <w:pPr>
              <w:pBdr/>
              <w:spacing/>
              <w:ind w:right="-108" w:left="-108"/>
              <w:rPr>
                <w:b/>
                <w:i/>
              </w:rPr>
            </w:pPr>
            <w:r>
              <w:rPr>
                <w:b/>
                <w:i/>
              </w:rPr>
              <w:t xml:space="preserve">Пункт ТД</w:t>
            </w:r>
            <w:r>
              <w:rPr>
                <w:b/>
                <w:i/>
              </w:rPr>
            </w:r>
          </w:p>
        </w:tc>
        <w:tc>
          <w:tcPr>
            <w:shd w:val="clear" w:color="auto" w:fill="auto"/>
            <w:tcBorders/>
            <w:tcW w:w="694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Попередня редакція</w:t>
            </w:r>
            <w:r>
              <w:rPr>
                <w:b/>
                <w:color w:val="000000"/>
              </w:rPr>
            </w:r>
          </w:p>
        </w:tc>
        <w:tc>
          <w:tcPr>
            <w:tcBorders/>
            <w:tcW w:w="694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Нова редакція</w: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</w:tc>
      </w:tr>
      <w:tr>
        <w:trPr>
          <w:trHeight w:val="20"/>
        </w:trPr>
        <w:tc>
          <w:tcPr>
            <w:tcBorders/>
            <w:tcW w:w="1985" w:type="dxa"/>
            <w:vAlign w:val="center"/>
            <w:textDirection w:val="lrTb"/>
            <w:noWrap w:val="false"/>
          </w:tcPr>
          <w:p>
            <w:pPr>
              <w:pBdr/>
              <w:spacing/>
              <w:ind w:right="-108" w:left="-108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shd w:val="clear" w:color="auto" w:fill="auto"/>
            <w:tcBorders/>
            <w:tcW w:w="694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</w:r>
            <w:r>
              <w:rPr>
                <w:strike/>
                <w:color w:val="000000"/>
              </w:rPr>
            </w:r>
          </w:p>
        </w:tc>
        <w:tc>
          <w:tcPr>
            <w:tcBorders/>
            <w:tcW w:w="69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</w:r>
            <w:r>
              <w:rPr>
                <w:strike/>
                <w:color w:val="000000"/>
              </w:rPr>
            </w:r>
            <w:r>
              <w:rPr>
                <w:strike/>
                <w:color w:val="000000"/>
              </w:rPr>
            </w:r>
          </w:p>
        </w:tc>
      </w:tr>
      <w:tr>
        <w:trPr>
          <w:trHeight w:val="1907"/>
        </w:trPr>
        <w:tc>
          <w:tcPr>
            <w:tcBorders/>
            <w:tcW w:w="19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 </w:t>
            </w:r>
            <w:r>
              <w:rPr>
                <w:b/>
                <w:sz w:val="20"/>
                <w:szCs w:val="20"/>
              </w:rPr>
              <w:t xml:space="preserve">30 </w:t>
            </w:r>
            <w:r>
              <w:rPr>
                <w:b/>
                <w:sz w:val="20"/>
                <w:szCs w:val="20"/>
              </w:rPr>
              <w:t xml:space="preserve">табличної частини Додатку 2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color="auto" w:fill="auto"/>
            <w:tcBorders/>
            <w:tcW w:w="6945" w:type="dxa"/>
            <w:vAlign w:val="center"/>
            <w:textDirection w:val="lrTb"/>
            <w:noWrap w:val="false"/>
          </w:tcPr>
          <w:tbl>
            <w:tblPr>
              <w:tblStyle w:val="671"/>
              <w:tblW w:w="0" w:type="auto"/>
              <w:tblBorders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276"/>
              <w:gridCol w:w="567"/>
              <w:gridCol w:w="425"/>
              <w:gridCol w:w="3969"/>
            </w:tblGrid>
            <w:tr>
              <w:trPr/>
              <w:tc>
                <w:tcPr>
                  <w:tcBorders/>
                  <w:tcW w:w="459" w:type="dxa"/>
                  <w:vAlign w:val="center"/>
                  <w:textDirection w:val="lrTb"/>
                  <w:noWrap w:val="false"/>
                </w:tcPr>
                <w:p>
                  <w:pPr>
                    <w:widowControl w:val="true"/>
                    <w:pBdr/>
                    <w:tabs>
                      <w:tab w:val="left" w:leader="none" w:pos="0"/>
                    </w:tabs>
                    <w:spacing/>
                    <w:ind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30.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</w:tc>
              <w:tc>
                <w:tcPr>
                  <w:tcBorders/>
                  <w:tcW w:w="1276" w:type="dxa"/>
                  <w:vAlign w:val="center"/>
                  <w:textDirection w:val="lrTb"/>
                  <w:noWrap w:val="false"/>
                </w:tcPr>
                <w:p>
                  <w:pPr>
                    <w:widowControl w:val="true"/>
                    <w:pBdr/>
                    <w:tabs>
                      <w:tab w:val="left" w:leader="none" w:pos="0"/>
                    </w:tabs>
                    <w:spacing/>
                    <w:ind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trike/>
                      <w:sz w:val="24"/>
                      <w:szCs w:val="24"/>
                    </w:rPr>
                    <w:t xml:space="preserve">Мікроскоп цифровий</w:t>
                  </w:r>
                  <w:r>
                    <w:rPr>
                      <w:b/>
                      <w:strike/>
                      <w:sz w:val="24"/>
                      <w:szCs w:val="24"/>
                    </w:rPr>
                  </w:r>
                  <w:r>
                    <w:rPr>
                      <w:b/>
                      <w:strike/>
                      <w:sz w:val="24"/>
                      <w:szCs w:val="24"/>
                    </w:rPr>
                  </w:r>
                </w:p>
              </w:tc>
              <w:tc>
                <w:tcPr>
                  <w:tcBorders/>
                  <w:tcW w:w="567" w:type="dxa"/>
                  <w:vAlign w:val="center"/>
                  <w:textDirection w:val="lrTb"/>
                  <w:noWrap w:val="false"/>
                </w:tcPr>
                <w:p>
                  <w:pPr>
                    <w:widowControl w:val="true"/>
                    <w:pBdr/>
                    <w:tabs>
                      <w:tab w:val="left" w:leader="none" w:pos="0"/>
                    </w:tabs>
                    <w:spacing/>
                    <w:ind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шт.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</w:tc>
              <w:tc>
                <w:tcPr>
                  <w:tcBorders/>
                  <w:tcW w:w="425" w:type="dxa"/>
                  <w:vAlign w:val="center"/>
                  <w:textDirection w:val="lrTb"/>
                  <w:noWrap w:val="false"/>
                </w:tcPr>
                <w:p>
                  <w:pPr>
                    <w:widowControl w:val="true"/>
                    <w:pBdr/>
                    <w:tabs>
                      <w:tab w:val="left" w:leader="none" w:pos="0"/>
                    </w:tabs>
                    <w:spacing/>
                    <w:ind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1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</w:tc>
              <w:tc>
                <w:tcPr>
                  <w:tcBorders/>
                  <w:tcW w:w="3969" w:type="dxa"/>
                  <w:vAlign w:val="center"/>
                  <w:textDirection w:val="lrTb"/>
                  <w:noWrap w:val="false"/>
                </w:tcPr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Навчальний монокулярний мікроскоп з USB-камерою, додатково до 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широкопольних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 окулярів (5x, 16x) і об'єктивів зі скляними лінзами (4x, 10x, 40x) до комплекту входить лінза 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Барлоу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, за рахунок чого мікроскоп здатен працювати на збільшеннях до 1280 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крат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 З камерою лінза 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Барлоу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 не використовується, тому максимальна кратність мікроскопа в режимі 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мікрозйомки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 – 640x.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Роздільна здатність камери 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br/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(2 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Мп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) дозволяє робити якісні цифрові знімки, придатні для редагування і публікації онлайн. За допомогою цифрового окуляра, який підключається до комп'ютера через USB-порт, зображення з мікроскопа легко переноситься на великий екран.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Мікроскопом можна підсвічувати препарат прохідним, відбитим і зміш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аним світлом. Верхній і нижній LED-освітлювачі здатні включаються одночасно або по черзі; яскравість кожного з них регулюється. За допомогою верхньої лампи, під мікроскопом можна досліджувати непрозорі предмети – тканину,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па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пі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р, деревину та інше. Можливість працювати в автономному режимі (від батарейок) і від мережі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Під стільницею встановлено дискову діафрагму на 6 отворів різного діаметру (5 з них – зі світлофільтрами). Механізм фокусування має плавний хід і достатній діапазон вертикального переміщення – 11 мм. Предметний столик розмірами 9 x 9.6 см оснащений 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препаратопереміщувачем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 з координатним ноніусом: шкала, що її нанесено на рухомі елементи супортів, призначена для візуального вимірювання 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мікровідстаней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br/>
                    <w:t xml:space="preserve">Класифікація: біологічний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Призначення: навчальний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Збільшення: 20х-1280x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Камера-окуляр: USB, 2 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Мп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Об'єктиви: лінзові на 4x, 10x, 40x(s)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Окуляри: WF5x, WF16x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Лінза 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Барлоу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: 1x-2x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Насадка: монокулярна (оборот на 360º, нахил на 30º)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Револьверна головка: на 3 об'єктиви, орієнтована всередину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Предметний столик: 90 x 96 мм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Мікрометричні супорти, ноніус-шкала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Зміна висоти предметного столика: до 1 см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Дискова діафрагма зі світлофільтрами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Металевий корпус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Скляна оптика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Оптична довжина тубуса: 160 мм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Тип мікроскопії: світлого поля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Фокусування: грубе з двостороннім керуванням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Тип фокусування: переміщенням предметного столика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Лінза-конденсор N.A. 0.65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Підсвітка: нижня з лінзою-колектором + верхня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Тип освітлення: LED лампи з плавним регулюванням яскравості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  <w:r>
                    <w:rPr>
                      <w:bCs/>
                      <w:strike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trike/>
                      <w:sz w:val="24"/>
                      <w:szCs w:val="24"/>
                    </w:rPr>
                    <w:t xml:space="preserve">Живлення від батарейок або від мережі 220В</w:t>
                  </w:r>
                  <w:r>
                    <w:rPr>
                      <w:bCs/>
                      <w:strike/>
                      <w:sz w:val="24"/>
                      <w:szCs w:val="24"/>
                      <w:lang w:bidi="ar-SA"/>
                    </w:rPr>
                    <w:t xml:space="preserve">.</w:t>
                  </w:r>
                  <w:r>
                    <w:rPr>
                      <w:bCs/>
                      <w:strike/>
                      <w:sz w:val="24"/>
                      <w:szCs w:val="24"/>
                      <w:lang w:bidi="ar-SA"/>
                    </w:rPr>
                  </w:r>
                  <w:r>
                    <w:rPr>
                      <w:bCs/>
                      <w:strike/>
                      <w:sz w:val="24"/>
                      <w:szCs w:val="24"/>
                      <w:lang w:bidi="ar-SA"/>
                    </w:rPr>
                  </w:r>
                </w:p>
              </w:tc>
            </w:tr>
          </w:tbl>
          <w:p>
            <w:pPr>
              <w:pBdr/>
              <w:tabs>
                <w:tab w:val="left" w:leader="none" w:pos="4860"/>
              </w:tabs>
              <w:spacing/>
              <w:ind w:firstLine="426"/>
              <w:jc w:val="both"/>
              <w:outlineLvl w:val="4"/>
              <w:rPr>
                <w:strike/>
              </w:rPr>
            </w:pPr>
            <w:r>
              <w:rPr>
                <w:strike/>
              </w:rPr>
            </w:r>
            <w:r>
              <w:rPr>
                <w:strike/>
              </w:rPr>
            </w:r>
          </w:p>
        </w:tc>
        <w:tc>
          <w:tcPr>
            <w:tcBorders/>
            <w:tcW w:w="6947" w:type="dxa"/>
            <w:vAlign w:val="center"/>
            <w:textDirection w:val="lrTb"/>
            <w:noWrap w:val="false"/>
          </w:tcPr>
          <w:tbl>
            <w:tblPr>
              <w:tblStyle w:val="671"/>
              <w:tblW w:w="0" w:type="auto"/>
              <w:tblBorders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276"/>
              <w:gridCol w:w="567"/>
              <w:gridCol w:w="425"/>
              <w:gridCol w:w="3968"/>
            </w:tblGrid>
            <w:tr>
              <w:trPr/>
              <w:tc>
                <w:tcPr>
                  <w:tcBorders/>
                  <w:tcW w:w="459" w:type="dxa"/>
                  <w:vAlign w:val="center"/>
                  <w:textDirection w:val="lrTb"/>
                  <w:noWrap w:val="false"/>
                </w:tcPr>
                <w:p>
                  <w:pPr>
                    <w:widowControl w:val="true"/>
                    <w:pBdr/>
                    <w:tabs>
                      <w:tab w:val="left" w:leader="none" w:pos="0"/>
                    </w:tabs>
                    <w:spacing/>
                    <w:ind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30.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</w:tc>
              <w:tc>
                <w:tcPr>
                  <w:tcBorders/>
                  <w:tcW w:w="1276" w:type="dxa"/>
                  <w:vAlign w:val="center"/>
                  <w:textDirection w:val="lrTb"/>
                  <w:noWrap w:val="false"/>
                </w:tcPr>
                <w:p>
                  <w:pPr>
                    <w:widowControl w:val="true"/>
                    <w:pBdr/>
                    <w:tabs>
                      <w:tab w:val="left" w:leader="none" w:pos="0"/>
                    </w:tabs>
                    <w:spacing/>
                    <w:ind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Мікроскоп цифровий</w: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Borders/>
                  <w:tcW w:w="567" w:type="dxa"/>
                  <w:vAlign w:val="center"/>
                  <w:textDirection w:val="lrTb"/>
                  <w:noWrap w:val="false"/>
                </w:tcPr>
                <w:p>
                  <w:pPr>
                    <w:widowControl w:val="true"/>
                    <w:pBdr/>
                    <w:tabs>
                      <w:tab w:val="left" w:leader="none" w:pos="0"/>
                    </w:tabs>
                    <w:spacing/>
                    <w:ind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шт.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</w:tc>
              <w:tc>
                <w:tcPr>
                  <w:tcBorders/>
                  <w:tcW w:w="425" w:type="dxa"/>
                  <w:vAlign w:val="center"/>
                  <w:textDirection w:val="lrTb"/>
                  <w:noWrap w:val="false"/>
                </w:tcPr>
                <w:p>
                  <w:pPr>
                    <w:widowControl w:val="true"/>
                    <w:pBdr/>
                    <w:tabs>
                      <w:tab w:val="left" w:leader="none" w:pos="0"/>
                    </w:tabs>
                    <w:spacing/>
                    <w:ind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2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</w:tc>
              <w:tc>
                <w:tcPr>
                  <w:tcBorders/>
                  <w:tcW w:w="3968" w:type="dxa"/>
                  <w:vAlign w:val="center"/>
                  <w:textDirection w:val="lrTb"/>
                  <w:noWrap w:val="false"/>
                </w:tcPr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Навчальний монокулярний мікроскоп з USB-камерою, додатково до </w:t>
                  </w:r>
                  <w:r>
                    <w:rPr>
                      <w:bCs/>
                      <w:sz w:val="24"/>
                      <w:szCs w:val="24"/>
                    </w:rPr>
                    <w:t xml:space="preserve">широкопольних</w:t>
                  </w:r>
                  <w:r>
                    <w:rPr>
                      <w:bCs/>
                      <w:sz w:val="24"/>
                      <w:szCs w:val="24"/>
                    </w:rPr>
                    <w:t xml:space="preserve"> окулярів (5x, 16x) і об'єктивів зі скляними лінзами (4x, 10x, 40x) до комплекту входить лінза </w:t>
                  </w:r>
                  <w:r>
                    <w:rPr>
                      <w:bCs/>
                      <w:sz w:val="24"/>
                      <w:szCs w:val="24"/>
                    </w:rPr>
                    <w:t xml:space="preserve">Барлоу</w:t>
                  </w:r>
                  <w:r>
                    <w:rPr>
                      <w:bCs/>
                      <w:sz w:val="24"/>
                      <w:szCs w:val="24"/>
                    </w:rPr>
                    <w:t xml:space="preserve">, за рахунок чого мікроскоп здатен працювати на збільшеннях до 1280 </w:t>
                  </w:r>
                  <w:r>
                    <w:rPr>
                      <w:bCs/>
                      <w:sz w:val="24"/>
                      <w:szCs w:val="24"/>
                    </w:rPr>
                    <w:t xml:space="preserve">крат</w:t>
                  </w:r>
                  <w:r>
                    <w:rPr>
                      <w:bCs/>
                      <w:sz w:val="24"/>
                      <w:szCs w:val="24"/>
                    </w:rPr>
                    <w:t xml:space="preserve">. З камерою лінза </w:t>
                  </w:r>
                  <w:r>
                    <w:rPr>
                      <w:bCs/>
                      <w:sz w:val="24"/>
                      <w:szCs w:val="24"/>
                    </w:rPr>
                    <w:t xml:space="preserve">Барлоу</w:t>
                  </w:r>
                  <w:r>
                    <w:rPr>
                      <w:bCs/>
                      <w:sz w:val="24"/>
                      <w:szCs w:val="24"/>
                    </w:rPr>
                    <w:t xml:space="preserve"> не використовується, тому максимальна кратність мікроскопа в режимі </w:t>
                  </w:r>
                  <w:r>
                    <w:rPr>
                      <w:bCs/>
                      <w:sz w:val="24"/>
                      <w:szCs w:val="24"/>
                    </w:rPr>
                    <w:t xml:space="preserve">мікрозйомки</w:t>
                  </w:r>
                  <w:r>
                    <w:rPr>
                      <w:bCs/>
                      <w:sz w:val="24"/>
                      <w:szCs w:val="24"/>
                    </w:rPr>
                    <w:t xml:space="preserve"> – 640x.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Роздільна здатність камери </w:t>
                  </w:r>
                  <w:r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 xml:space="preserve">(2 </w:t>
                  </w:r>
                  <w:r>
                    <w:rPr>
                      <w:bCs/>
                      <w:sz w:val="24"/>
                      <w:szCs w:val="24"/>
                    </w:rPr>
                    <w:t xml:space="preserve">Мп</w:t>
                  </w:r>
                  <w:r>
                    <w:rPr>
                      <w:bCs/>
                      <w:sz w:val="24"/>
                      <w:szCs w:val="24"/>
                    </w:rPr>
                    <w:t xml:space="preserve">) дозволяє робити якісні цифрові знімки, придатні для редагування і публікації онлайн. За допомогою цифрового окуляра, який підключається до комп'ютера через USB-порт, зображення з мікроскопа легко переноситься на великий екран.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Мікроскопом можна підсвічувати препарат прохідним, відбитим і зміш</w:t>
                  </w:r>
                  <w:r>
                    <w:rPr>
                      <w:bCs/>
                      <w:sz w:val="24"/>
                      <w:szCs w:val="24"/>
                    </w:rPr>
                    <w:t xml:space="preserve">аним світлом. Верхній і нижній LED-освітлювачі здатні включаються одночасно або по черзі; яскравість кожного з них регулюється. За допомогою верхньої лампи, під мікроскопом можна досліджувати непрозорі предмети – тканину,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па</w:t>
                  </w:r>
                  <w:r>
                    <w:rPr>
                      <w:bCs/>
                      <w:sz w:val="24"/>
                      <w:szCs w:val="24"/>
                    </w:rPr>
                    <w:t xml:space="preserve">пі</w:t>
                  </w:r>
                  <w:r>
                    <w:rPr>
                      <w:bCs/>
                      <w:sz w:val="24"/>
                      <w:szCs w:val="24"/>
                    </w:rPr>
                    <w:t xml:space="preserve">р, деревину та інше. Можливість працювати в автономному режимі (від батарейок) і від мережі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Під стільницею встановлено дискову діафрагму на 6 отворів різного діаметру (5 з них – зі світлофільтрами). Механізм фокусування має плавний хід і достатній діапазон вертикального переміщення – 11 мм. Предметний столик розмірами 9 x 9.6 см оснащений </w:t>
                  </w:r>
                  <w:r>
                    <w:rPr>
                      <w:bCs/>
                      <w:sz w:val="24"/>
                      <w:szCs w:val="24"/>
                    </w:rPr>
                    <w:t xml:space="preserve">препаратопереміщувачем</w:t>
                  </w:r>
                  <w:r>
                    <w:rPr>
                      <w:bCs/>
                      <w:sz w:val="24"/>
                      <w:szCs w:val="24"/>
                    </w:rPr>
                    <w:t xml:space="preserve"> з координатним ноніусом: шкала, що її нанесено на рухомі елементи супортів, призначена для візуального вимірювання </w:t>
                  </w:r>
                  <w:r>
                    <w:rPr>
                      <w:bCs/>
                      <w:sz w:val="24"/>
                      <w:szCs w:val="24"/>
                    </w:rPr>
                    <w:t xml:space="preserve">мікровідстаней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br/>
                    <w:t xml:space="preserve">Класифікація: біологічний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Призначення: навчальний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Збільшення: 20х-1280x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Камера-окуляр: USB, 2 </w:t>
                  </w:r>
                  <w:r>
                    <w:rPr>
                      <w:bCs/>
                      <w:sz w:val="24"/>
                      <w:szCs w:val="24"/>
                    </w:rPr>
                    <w:t xml:space="preserve">Мп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Об'єктиви: лінзові на 4x, 10x, 40x(s)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Окуляри: WF5x, WF16x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Лінза </w:t>
                  </w:r>
                  <w:r>
                    <w:rPr>
                      <w:bCs/>
                      <w:sz w:val="24"/>
                      <w:szCs w:val="24"/>
                    </w:rPr>
                    <w:t xml:space="preserve">Барлоу</w:t>
                  </w:r>
                  <w:r>
                    <w:rPr>
                      <w:bCs/>
                      <w:sz w:val="24"/>
                      <w:szCs w:val="24"/>
                    </w:rPr>
                    <w:t xml:space="preserve">: 1x-2x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Насадка: монокулярна (оборот на 360º, нахил на 30º)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Револьверна головка: на 3 об'єктиви, орієнтована всередину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Предметний столик: 90 x 96 мм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Мікрометричні супорти, ноніус-шкала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Зміна висоти предметного столика: до 1 см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Дискова діафрагма зі світлофільтрами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Металевий корпус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Скляна оптика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Оптична довжина тубуса: 160 мм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Тип мікроскопії: світлого поля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Фокусування: грубе з двостороннім керуванням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Тип фокусування: переміщенням предметного столика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Лінза-конденсор N.A. 0.65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Підсвітка: нижня з лінзою-колектором + верхня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Тип освітлення: LED лампи з плавним регулюванням яскравості</w:t>
                  </w:r>
                  <w:r>
                    <w:rPr>
                      <w:bCs/>
                      <w:sz w:val="24"/>
                      <w:szCs w:val="24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</w:rPr>
                  </w:r>
                  <w:r>
                    <w:rPr>
                      <w:bCs/>
                      <w:sz w:val="24"/>
                      <w:szCs w:val="24"/>
                    </w:rPr>
                  </w:r>
                </w:p>
                <w:p>
                  <w:pPr>
                    <w:pBdr/>
                    <w:spacing/>
                    <w:ind/>
                    <w:jc w:val="both"/>
                    <w:rPr>
                      <w:bCs/>
                      <w:sz w:val="24"/>
                      <w:szCs w:val="24"/>
                      <w:lang w:bidi="ar-SA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Живлення від батарейок або від мережі 220В</w:t>
                  </w:r>
                  <w:r>
                    <w:rPr>
                      <w:bCs/>
                      <w:sz w:val="24"/>
                      <w:szCs w:val="24"/>
                      <w:lang w:bidi="ar-SA"/>
                    </w:rPr>
                    <w:t xml:space="preserve">.</w:t>
                  </w:r>
                  <w:r>
                    <w:rPr>
                      <w:bCs/>
                      <w:sz w:val="24"/>
                      <w:szCs w:val="24"/>
                      <w:lang w:bidi="ar-SA"/>
                    </w:rPr>
                  </w:r>
                  <w:r>
                    <w:rPr>
                      <w:bCs/>
                      <w:sz w:val="24"/>
                      <w:szCs w:val="24"/>
                      <w:lang w:bidi="ar-SA"/>
                    </w:rPr>
                  </w:r>
                </w:p>
              </w:tc>
            </w:tr>
          </w:tbl>
          <w:p>
            <w:pPr>
              <w:pBdr/>
              <w:tabs>
                <w:tab w:val="left" w:leader="none" w:pos="4860"/>
              </w:tabs>
              <w:spacing/>
              <w:ind w:firstLine="426"/>
              <w:jc w:val="both"/>
              <w:outlineLvl w:val="4"/>
              <w:rPr>
                <w:strike/>
              </w:rPr>
            </w:pPr>
            <w:r>
              <w:rPr>
                <w:strike/>
              </w:rPr>
            </w:r>
            <w:r>
              <w:rPr>
                <w:strike/>
              </w:rPr>
            </w:r>
            <w:r>
              <w:rPr>
                <w:strike/>
              </w:rPr>
            </w:r>
          </w:p>
          <w:p>
            <w:pPr>
              <w:pBdr/>
              <w:spacing/>
              <w:ind/>
              <w:rPr/>
            </w:pPr>
            <w:r/>
          </w:p>
        </w:tc>
      </w:tr>
    </w:tbl>
    <w:p>
      <w:pPr>
        <w:pBdr/>
        <w:shd w:val="clear" w:color="auto" w:fill="ffffff"/>
        <w:tabs>
          <w:tab w:val="left" w:leader="none" w:pos="720"/>
        </w:tabs>
        <w:spacing/>
        <w:ind/>
        <w:rPr>
          <w:b/>
        </w:rPr>
      </w:pPr>
      <w:r>
        <w:rPr>
          <w:b/>
        </w:rPr>
      </w:r>
      <w:r>
        <w:rPr>
          <w:b/>
        </w:rPr>
      </w:r>
    </w:p>
    <w:p>
      <w:pPr>
        <w:pBdr/>
        <w:shd w:val="clear" w:color="auto" w:fill="ffffff"/>
        <w:tabs>
          <w:tab w:val="left" w:leader="none" w:pos="720"/>
        </w:tabs>
        <w:spacing/>
        <w:ind/>
        <w:rPr>
          <w:b/>
        </w:rPr>
      </w:pPr>
      <w:r>
        <w:rPr>
          <w:b/>
        </w:rPr>
      </w:r>
      <w:r>
        <w:rPr>
          <w:b/>
        </w:rPr>
      </w:r>
    </w:p>
    <w:sectPr>
      <w:footnotePr/>
      <w:endnotePr/>
      <w:type w:val="nextPage"/>
      <w:pgSz w:h="11906" w:orient="portrait" w:w="16838"/>
      <w:pgMar w:top="902" w:right="720" w:bottom="426" w:left="425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Times New Roman CYR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decimal"/>
      <w:pPr>
        <w:pBdr/>
        <w:spacing/>
        <w:ind w:firstLine="1080" w:left="862"/>
      </w:pPr>
      <w:rPr>
        <w:rFonts w:cs="Times New Roman"/>
        <w:i w:val="0"/>
        <w:vertAlign w:val="baseline"/>
      </w:rPr>
      <w:start w:val="1"/>
      <w:suff w:val="tab"/>
    </w:lvl>
    <w:lvl w:ilvl="1">
      <w:isLgl w:val="false"/>
      <w:lvlJc w:val="left"/>
      <w:lvlText w:val="%2"/>
      <w:numFmt w:val="lowerLetter"/>
      <w:pPr>
        <w:pBdr/>
        <w:spacing/>
        <w:ind w:firstLine="1800" w:left="1222"/>
      </w:pPr>
      <w:rPr>
        <w:rFonts w:cs="Times New Roman"/>
        <w:vertAlign w:val="baseline"/>
      </w:rPr>
      <w:start w:val="1"/>
      <w:suff w:val="tab"/>
    </w:lvl>
    <w:lvl w:ilvl="2">
      <w:isLgl w:val="false"/>
      <w:lvlJc w:val="left"/>
      <w:lvlText w:val="%3"/>
      <w:numFmt w:val="lowerRoman"/>
      <w:pPr>
        <w:pBdr/>
        <w:spacing/>
        <w:ind w:firstLine="2520" w:left="1582"/>
      </w:pPr>
      <w:rPr>
        <w:rFonts w:cs="Times New Roman"/>
        <w:vertAlign w:val="baseline"/>
      </w:rPr>
      <w:start w:val="1"/>
      <w:suff w:val="tab"/>
    </w:lvl>
    <w:lvl w:ilvl="3">
      <w:isLgl w:val="false"/>
      <w:lvlJc w:val="left"/>
      <w:lvlText w:val="%4"/>
      <w:numFmt w:val="decimal"/>
      <w:pPr>
        <w:pBdr/>
        <w:spacing/>
        <w:ind w:firstLine="3240" w:left="1942"/>
      </w:pPr>
      <w:rPr>
        <w:rFonts w:cs="Times New Roman"/>
        <w:vertAlign w:val="baseline"/>
      </w:rPr>
      <w:start w:val="1"/>
      <w:suff w:val="tab"/>
    </w:lvl>
    <w:lvl w:ilvl="4">
      <w:isLgl w:val="false"/>
      <w:lvlJc w:val="left"/>
      <w:lvlText w:val="%5"/>
      <w:numFmt w:val="lowerLetter"/>
      <w:pPr>
        <w:pBdr/>
        <w:spacing/>
        <w:ind w:firstLine="3960" w:left="2302"/>
      </w:pPr>
      <w:rPr>
        <w:rFonts w:cs="Times New Roman"/>
        <w:vertAlign w:val="baseline"/>
      </w:rPr>
      <w:start w:val="1"/>
      <w:suff w:val="tab"/>
    </w:lvl>
    <w:lvl w:ilvl="5">
      <w:isLgl w:val="false"/>
      <w:lvlJc w:val="left"/>
      <w:lvlText w:val="%6"/>
      <w:numFmt w:val="lowerRoman"/>
      <w:pPr>
        <w:pBdr/>
        <w:spacing/>
        <w:ind w:firstLine="4680" w:left="2662"/>
      </w:pPr>
      <w:rPr>
        <w:rFonts w:cs="Times New Roman"/>
        <w:vertAlign w:val="baseline"/>
      </w:rPr>
      <w:start w:val="1"/>
      <w:suff w:val="tab"/>
    </w:lvl>
    <w:lvl w:ilvl="6">
      <w:isLgl w:val="false"/>
      <w:lvlJc w:val="left"/>
      <w:lvlText w:val="%7"/>
      <w:numFmt w:val="decimal"/>
      <w:pPr>
        <w:pBdr/>
        <w:spacing/>
        <w:ind w:firstLine="5400" w:left="3022"/>
      </w:pPr>
      <w:rPr>
        <w:rFonts w:cs="Times New Roman"/>
        <w:vertAlign w:val="baseline"/>
      </w:rPr>
      <w:start w:val="1"/>
      <w:suff w:val="tab"/>
    </w:lvl>
    <w:lvl w:ilvl="7">
      <w:isLgl w:val="false"/>
      <w:lvlJc w:val="left"/>
      <w:lvlText w:val="%8"/>
      <w:numFmt w:val="lowerLetter"/>
      <w:pPr>
        <w:pBdr/>
        <w:spacing/>
        <w:ind w:firstLine="6120" w:left="3382"/>
      </w:pPr>
      <w:rPr>
        <w:rFonts w:cs="Times New Roman"/>
        <w:vertAlign w:val="baseline"/>
      </w:rPr>
      <w:start w:val="1"/>
      <w:suff w:val="tab"/>
    </w:lvl>
    <w:lvl w:ilvl="8">
      <w:isLgl w:val="false"/>
      <w:lvlJc w:val="left"/>
      <w:lvlText w:val="%9"/>
      <w:numFmt w:val="lowerRoman"/>
      <w:pPr>
        <w:pBdr/>
        <w:spacing/>
        <w:ind w:firstLine="6840" w:left="3742"/>
      </w:pPr>
      <w:rPr>
        <w:rFonts w:cs="Times New Roman"/>
        <w:vertAlign w:val="baseline"/>
      </w:rPr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">
    <w:lvl w:ilvl="0">
      <w:isLgl w:val="false"/>
      <w:lvlJc w:val="left"/>
      <w:lvlText w:val="%1)"/>
      <w:numFmt w:val="decimal"/>
      <w:pPr>
        <w:pBdr/>
        <w:spacing/>
        <w:ind w:hanging="360" w:left="360"/>
      </w:pPr>
      <w:rPr>
        <w:rFonts w:cs="Times New Roman"/>
        <w:b w:val="0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72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144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216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288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360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432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5040"/>
      </w:pPr>
      <w:rPr/>
      <w:start w:val="1"/>
      <w:suff w:val="tab"/>
    </w:lvl>
  </w:abstractNum>
  <w:abstractNum w:abstractNumId="3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4">
    <w:lvl w:ilvl="0">
      <w:isLgl w:val="false"/>
      <w:lvlJc w:val="left"/>
      <w:lvlText w:val="%1)"/>
      <w:numFmt w:val="decimal"/>
      <w:pPr>
        <w:pBdr/>
        <w:spacing/>
        <w:ind w:hanging="360" w:left="360"/>
      </w:pPr>
      <w:rPr>
        <w:rFonts w:cs="Times New Roman"/>
        <w:b w:val="0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72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144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216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288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360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432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5040"/>
      </w:pPr>
      <w:rPr/>
      <w:start w:val="1"/>
      <w:suff w:val="tab"/>
    </w:lvl>
  </w:abstractNum>
  <w:abstractNum w:abstractNumId="5">
    <w:lvl w:ilvl="0">
      <w:isLgl w:val="false"/>
      <w:lvlJc w:val="center"/>
      <w:lvlText w:val="%1."/>
      <w:numFmt w:val="decimal"/>
      <w:pPr>
        <w:pBdr/>
        <w:spacing/>
        <w:ind w:hanging="360" w:left="693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13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33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53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73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293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13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33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53"/>
      </w:pPr>
      <w:rPr/>
      <w:start w:val="1"/>
      <w:suff w:val="tab"/>
    </w:lvl>
  </w:abstractNum>
  <w:abstractNum w:abstractNumId="6">
    <w:lvl w:ilvl="0">
      <w:isLgl w:val="false"/>
      <w:lvlJc w:val="left"/>
      <w:lvlText w:val="-"/>
      <w:numFmt w:val="bullet"/>
      <w:pPr>
        <w:pBdr/>
        <w:spacing/>
        <w:ind w:hanging="360" w:left="754"/>
      </w:pPr>
      <w:rPr>
        <w:rFonts w:hint="default" w:ascii="Times New Roman" w:hAnsi="Times New Roman" w:eastAsia="Times New Roman" w:cs="Times New Roman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74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94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914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34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54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74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94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514"/>
      </w:pPr>
      <w:rPr>
        <w:rFonts w:hint="default" w:ascii="Wingdings" w:hAnsi="Wingdings"/>
      </w:rPr>
      <w:start w:val="1"/>
      <w:suff w:val="tab"/>
    </w:lvl>
  </w:abstractNum>
  <w:abstractNum w:abstractNumId="7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8">
    <w:lvl w:ilvl="0">
      <w:isLgl w:val="false"/>
      <w:lvlJc w:val="left"/>
      <w:lvlText w:val=""/>
      <w:numFmt w:val="bullet"/>
      <w:pPr>
        <w:pBdr/>
        <w:spacing/>
        <w:ind w:hanging="360" w:left="754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74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94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914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34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54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74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94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514"/>
      </w:pPr>
      <w:rPr>
        <w:rFonts w:hint="default" w:ascii="Wingdings" w:hAnsi="Wingdings"/>
      </w:rPr>
      <w:start w:val="1"/>
      <w:suff w:val="tab"/>
    </w:lvl>
  </w:abstractNum>
  <w:abstractNum w:abstractNumId="9">
    <w:lvl w:ilvl="0">
      <w:isLgl w:val="false"/>
      <w:lvlJc w:val="left"/>
      <w:lvlText w:val="%1."/>
      <w:numFmt w:val="decimal"/>
      <w:pPr>
        <w:pBdr/>
        <w:spacing/>
        <w:ind w:hanging="360" w:left="1458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7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9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61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33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5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7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9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218"/>
      </w:pPr>
      <w:rPr/>
      <w:start w:val="1"/>
      <w:suff w:val="tab"/>
    </w:lvl>
  </w:abstractNum>
  <w:abstractNum w:abstractNumId="10">
    <w:lvl w:ilvl="0">
      <w:isLgl w:val="false"/>
      <w:lvlJc w:val="left"/>
      <w:lvlText w:val="%1)"/>
      <w:numFmt w:val="decimal"/>
      <w:pPr>
        <w:pBdr/>
        <w:spacing/>
        <w:ind w:hanging="360" w:left="420"/>
      </w:pPr>
      <w:rPr>
        <w:rFonts w:cs="Times New Roman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140"/>
      </w:pPr>
      <w:rPr>
        <w:rFonts w:cs="Times New Roman"/>
      </w:rPr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860"/>
      </w:pPr>
      <w:rPr>
        <w:rFonts w:cs="Times New Roman"/>
      </w:rPr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580"/>
      </w:pPr>
      <w:rPr>
        <w:rFonts w:cs="Times New Roman"/>
      </w:rPr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300"/>
      </w:pPr>
      <w:rPr>
        <w:rFonts w:cs="Times New Roman"/>
      </w:rPr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020"/>
      </w:pPr>
      <w:rPr>
        <w:rFonts w:cs="Times New Roman"/>
      </w:rPr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740"/>
      </w:pPr>
      <w:rPr>
        <w:rFonts w:cs="Times New Roman"/>
        <w:sz w:val="22"/>
        <w:szCs w:val="22"/>
      </w:rPr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460"/>
      </w:pPr>
      <w:rPr>
        <w:rFonts w:cs="Times New Roman"/>
      </w:rPr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180"/>
      </w:pPr>
      <w:rPr>
        <w:rFonts w:cs="Times New Roman"/>
      </w:rPr>
      <w:start w:val="1"/>
      <w:suff w:val="tab"/>
    </w:lvl>
  </w:abstractNum>
  <w:abstractNum w:abstractNumId="11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2">
    <w:lvl w:ilvl="0">
      <w:isLgl w:val="false"/>
      <w:lvlJc w:val="left"/>
      <w:lvlText w:val="%1."/>
      <w:numFmt w:val="decimal"/>
      <w:pPr>
        <w:pBdr/>
        <w:spacing/>
        <w:ind w:hanging="360" w:left="1458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7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9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61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33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5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7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9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218"/>
      </w:pPr>
      <w:rPr/>
      <w:start w:val="1"/>
      <w:suff w:val="tab"/>
    </w:lvl>
  </w:abstractNum>
  <w:abstractNum w:abstractNumId="13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360" w:left="1440"/>
      </w:pPr>
      <w:rPr>
        <w:rFonts w:hint="default" w:ascii="Times New Roman" w:hAnsi="Times New Roman" w:eastAsia="Times New Roman" w:cs="Times New Roman"/>
      </w:rPr>
      <w:start w:val="0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4">
    <w:lvl w:ilvl="0">
      <w:isLgl w:val="false"/>
      <w:lvlJc w:val="left"/>
      <w:lvlText w:val="%1"/>
      <w:numFmt w:val="decimal"/>
      <w:pPr>
        <w:pBdr/>
        <w:spacing/>
        <w:ind w:hanging="360" w:left="720"/>
      </w:pPr>
      <w:rPr/>
      <w:start w:val="148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5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6">
    <w:lvl w:ilvl="0">
      <w:isLgl w:val="false"/>
      <w:lvlJc w:val="left"/>
      <w:lvlText w:val="%1)"/>
      <w:numFmt w:val="decimal"/>
      <w:pPr>
        <w:pBdr/>
        <w:spacing/>
        <w:ind w:hanging="360" w:left="360"/>
      </w:pPr>
      <w:rPr>
        <w:rFonts w:cs="Times New Roman"/>
        <w:b w:val="0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72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144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216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288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360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432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5040"/>
      </w:pPr>
      <w:rPr/>
      <w:start w:val="1"/>
      <w:suff w:val="tab"/>
    </w:lvl>
  </w:abstractNum>
  <w:abstractNum w:abstractNumId="17">
    <w:lvl w:ilvl="0">
      <w:isLgl w:val="false"/>
      <w:lvlJc w:val="left"/>
      <w:lvlText w:val="%1"/>
      <w:numFmt w:val="decimal"/>
      <w:pPr>
        <w:pBdr/>
        <w:spacing/>
        <w:ind w:hanging="360" w:left="720"/>
      </w:pPr>
      <w:rPr/>
      <w:start w:val="148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8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4"/>
  </w:num>
  <w:num w:numId="10">
    <w:abstractNumId w:val="16"/>
  </w:num>
  <w:num w:numId="11">
    <w:abstractNumId w:val="2"/>
  </w:num>
  <w:num w:numId="12">
    <w:abstractNumId w:val="17"/>
    <w:lvlOverride w:ilvl="0">
      <w:startOverride w:val="1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  <w:num w:numId="20">
    <w:abstractNumId w:val="7"/>
  </w:num>
  <w:num w:numId="21">
    <w:abstractNumId w:val="15"/>
  </w:num>
  <w:num w:numId="22">
    <w:abstractNumId w:val="11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0"/>
    <w:next w:val="660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60"/>
    <w:next w:val="660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60"/>
    <w:next w:val="660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60"/>
    <w:next w:val="660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0"/>
    <w:next w:val="660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0"/>
    <w:next w:val="66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0"/>
    <w:next w:val="66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0"/>
    <w:next w:val="66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0"/>
    <w:next w:val="66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60"/>
    <w:next w:val="660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6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60"/>
    <w:next w:val="660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6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60"/>
    <w:next w:val="66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60"/>
    <w:next w:val="66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60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61"/>
    <w:link w:val="42"/>
    <w:uiPriority w:val="99"/>
    <w:pPr>
      <w:pBdr/>
      <w:spacing/>
      <w:ind/>
    </w:pPr>
  </w:style>
  <w:style w:type="paragraph" w:styleId="44">
    <w:name w:val="Footer"/>
    <w:basedOn w:val="660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61"/>
    <w:link w:val="44"/>
    <w:uiPriority w:val="99"/>
    <w:pPr>
      <w:pBdr/>
      <w:spacing/>
      <w:ind/>
    </w:pPr>
  </w:style>
  <w:style w:type="paragraph" w:styleId="46">
    <w:name w:val="Caption"/>
    <w:basedOn w:val="660"/>
    <w:next w:val="66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9">
    <w:name w:val="Table Grid Light"/>
    <w:basedOn w:val="66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6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6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6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6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6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6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60"/>
    <w:next w:val="66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60"/>
    <w:next w:val="66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60"/>
    <w:next w:val="66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60"/>
    <w:next w:val="66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60"/>
    <w:next w:val="66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60"/>
    <w:next w:val="66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60"/>
    <w:next w:val="66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60"/>
    <w:next w:val="66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60"/>
    <w:next w:val="66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60"/>
    <w:next w:val="660"/>
    <w:uiPriority w:val="99"/>
    <w:unhideWhenUsed/>
    <w:pPr>
      <w:pBdr/>
      <w:spacing w:after="0" w:afterAutospacing="0"/>
      <w:ind/>
    </w:pPr>
  </w:style>
  <w:style w:type="paragraph" w:styleId="660" w:default="1">
    <w:name w:val="Normal"/>
    <w:qFormat/>
    <w:pPr>
      <w:pBdr/>
      <w:spacing/>
      <w:ind/>
    </w:pPr>
    <w:rPr>
      <w:rFonts w:ascii="Times New Roman" w:hAnsi="Times New Roman" w:eastAsia="Times New Roman"/>
      <w:sz w:val="24"/>
      <w:szCs w:val="24"/>
      <w:lang w:val="uk-UA" w:eastAsia="ar-SA"/>
    </w:rPr>
  </w:style>
  <w:style w:type="character" w:styleId="661" w:default="1">
    <w:name w:val="Default Paragraph Font"/>
    <w:uiPriority w:val="1"/>
    <w:semiHidden/>
    <w:unhideWhenUsed/>
    <w:pPr>
      <w:pBdr/>
      <w:spacing/>
      <w:ind/>
    </w:pPr>
  </w:style>
  <w:style w:type="table" w:styleId="662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3" w:default="1">
    <w:name w:val="No List"/>
    <w:uiPriority w:val="99"/>
    <w:semiHidden/>
    <w:unhideWhenUsed/>
    <w:pPr>
      <w:pBdr/>
      <w:spacing/>
      <w:ind/>
    </w:pPr>
  </w:style>
  <w:style w:type="paragraph" w:styleId="664">
    <w:name w:val="List Paragraph"/>
    <w:basedOn w:val="660"/>
    <w:link w:val="667"/>
    <w:uiPriority w:val="1"/>
    <w:qFormat/>
    <w:pPr>
      <w:pBdr/>
      <w:spacing/>
      <w:ind w:left="720"/>
      <w:contextualSpacing w:val="true"/>
    </w:pPr>
  </w:style>
  <w:style w:type="character" w:styleId="665">
    <w:name w:val="Hyperlink"/>
    <w:pPr>
      <w:pBdr/>
      <w:spacing/>
      <w:ind/>
    </w:pPr>
    <w:rPr>
      <w:color w:val="0000ff"/>
      <w:u w:val="single"/>
    </w:rPr>
  </w:style>
  <w:style w:type="paragraph" w:styleId="666" w:customStyle="1">
    <w:name w:val="rvps2"/>
    <w:basedOn w:val="660"/>
    <w:uiPriority w:val="99"/>
    <w:pPr>
      <w:pBdr/>
      <w:spacing w:after="280" w:before="280"/>
      <w:ind/>
    </w:pPr>
    <w:rPr>
      <w:lang w:val="ru-RU" w:eastAsia="zh-CN"/>
    </w:rPr>
  </w:style>
  <w:style w:type="character" w:styleId="667" w:customStyle="1">
    <w:name w:val="Абзац списка Знак"/>
    <w:link w:val="664"/>
    <w:uiPriority w:val="34"/>
    <w:pPr>
      <w:pBdr/>
      <w:spacing/>
      <w:ind/>
    </w:pPr>
    <w:rPr>
      <w:rFonts w:ascii="Times New Roman" w:hAnsi="Times New Roman" w:eastAsia="Times New Roman"/>
      <w:sz w:val="24"/>
      <w:szCs w:val="24"/>
      <w:lang w:val="uk-UA" w:eastAsia="ar-SA"/>
    </w:rPr>
  </w:style>
  <w:style w:type="paragraph" w:styleId="668">
    <w:name w:val="Normal (Web)"/>
    <w:basedOn w:val="660"/>
    <w:link w:val="674"/>
    <w:qFormat/>
    <w:pPr>
      <w:pBdr/>
      <w:spacing w:after="120" w:line="276" w:lineRule="auto"/>
      <w:ind/>
    </w:pPr>
    <w:rPr>
      <w:rFonts w:ascii="Calibri" w:hAnsi="Calibri"/>
      <w:sz w:val="22"/>
      <w:szCs w:val="22"/>
      <w:lang w:eastAsia="uk-UA"/>
    </w:rPr>
  </w:style>
  <w:style w:type="character" w:styleId="669" w:customStyle="1">
    <w:name w:val="List Paragraph Char"/>
    <w:link w:val="670"/>
    <w:pPr>
      <w:pBdr/>
      <w:spacing/>
      <w:ind/>
    </w:pPr>
    <w:rPr>
      <w:rFonts w:ascii="Times New Roman CYR" w:hAnsi="Times New Roman CYR" w:eastAsia="Times New Roman" w:cs="Times New Roman CYR"/>
      <w:sz w:val="24"/>
      <w:szCs w:val="24"/>
      <w:lang w:eastAsia="ar-SA"/>
    </w:rPr>
  </w:style>
  <w:style w:type="paragraph" w:styleId="670" w:customStyle="1">
    <w:name w:val="Абзац списка1"/>
    <w:basedOn w:val="660"/>
    <w:link w:val="669"/>
    <w:pPr>
      <w:widowControl w:val="false"/>
      <w:pBdr/>
      <w:spacing w:line="100" w:lineRule="atLeast"/>
      <w:ind w:left="720"/>
    </w:pPr>
    <w:rPr>
      <w:rFonts w:ascii="Times New Roman CYR" w:hAnsi="Times New Roman CYR" w:cs="Times New Roman CYR"/>
    </w:rPr>
  </w:style>
  <w:style w:type="table" w:styleId="671">
    <w:name w:val="Table Grid"/>
    <w:basedOn w:val="662"/>
    <w:uiPriority w:val="39"/>
    <w:pPr>
      <w:pBdr/>
      <w:spacing/>
      <w:ind/>
    </w:pPr>
    <w:rPr>
      <w:rFonts w:asciiTheme="minorHAnsi" w:hAnsiTheme="minorHAnsi" w:eastAsiaTheme="minorHAnsi" w:cstheme="minorBidi"/>
      <w:sz w:val="22"/>
      <w:szCs w:val="22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72">
    <w:name w:val="No Spacing"/>
    <w:link w:val="673"/>
    <w:uiPriority w:val="1"/>
    <w:qFormat/>
    <w:pPr>
      <w:pBdr/>
      <w:spacing/>
      <w:ind/>
    </w:pPr>
    <w:rPr>
      <w:rFonts w:eastAsia="Times New Roman" w:cs="Calibri"/>
      <w:sz w:val="22"/>
      <w:szCs w:val="22"/>
      <w:lang w:eastAsia="zh-CN"/>
    </w:rPr>
  </w:style>
  <w:style w:type="character" w:styleId="673" w:customStyle="1">
    <w:name w:val="Без интервала Знак"/>
    <w:link w:val="672"/>
    <w:uiPriority w:val="1"/>
    <w:pPr>
      <w:pBdr/>
      <w:spacing/>
      <w:ind/>
    </w:pPr>
    <w:rPr>
      <w:rFonts w:eastAsia="Times New Roman" w:cs="Calibri"/>
      <w:sz w:val="22"/>
      <w:szCs w:val="22"/>
      <w:lang w:eastAsia="zh-CN"/>
    </w:rPr>
  </w:style>
  <w:style w:type="character" w:styleId="674" w:customStyle="1">
    <w:name w:val="Обычный (веб) Знак"/>
    <w:link w:val="668"/>
    <w:pPr>
      <w:pBdr/>
      <w:spacing/>
      <w:ind/>
    </w:pPr>
    <w:rPr>
      <w:rFonts w:eastAsia="Times New Roman"/>
      <w:sz w:val="22"/>
      <w:szCs w:val="22"/>
      <w:lang w:val="uk-UA" w:eastAsia="uk-UA"/>
    </w:rPr>
  </w:style>
  <w:style w:type="paragraph" w:styleId="675" w:customStyle="1">
    <w:name w:val="Default"/>
    <w:pPr>
      <w:pBdr/>
      <w:spacing/>
      <w:ind/>
    </w:pPr>
    <w:rPr>
      <w:rFonts w:cs="Calibri"/>
      <w:color w:val="000000"/>
      <w:sz w:val="24"/>
      <w:szCs w:val="24"/>
    </w:rPr>
  </w:style>
  <w:style w:type="paragraph" w:styleId="676" w:customStyle="1">
    <w:name w:val="Обычный+14 пт"/>
    <w:basedOn w:val="660"/>
    <w:uiPriority w:val="99"/>
    <w:pPr>
      <w:pBdr/>
      <w:spacing/>
      <w:ind/>
    </w:pPr>
    <w:rPr>
      <w:lang w:eastAsia="uk-UA"/>
    </w:rPr>
  </w:style>
  <w:style w:type="character" w:styleId="677" w:customStyle="1">
    <w:name w:val="Основной текст с отступом 2 Знак"/>
    <w:link w:val="678"/>
    <w:pPr>
      <w:pBdr/>
      <w:spacing/>
      <w:ind/>
    </w:pPr>
    <w:rPr>
      <w:rFonts w:cs="Calibri"/>
      <w:sz w:val="22"/>
      <w:szCs w:val="22"/>
    </w:rPr>
  </w:style>
  <w:style w:type="paragraph" w:styleId="678">
    <w:name w:val="Body Text Indent 2"/>
    <w:basedOn w:val="660"/>
    <w:link w:val="677"/>
    <w:unhideWhenUsed/>
    <w:pPr>
      <w:pBdr/>
      <w:spacing w:after="120" w:line="480" w:lineRule="auto"/>
      <w:ind w:left="283"/>
    </w:pPr>
    <w:rPr>
      <w:rFonts w:ascii="Calibri" w:hAnsi="Calibri" w:eastAsia="Calibri" w:cs="Calibri"/>
      <w:sz w:val="22"/>
      <w:szCs w:val="22"/>
      <w:lang w:val="ru-RU" w:eastAsia="ru-RU"/>
    </w:rPr>
  </w:style>
  <w:style w:type="character" w:styleId="679" w:customStyle="1">
    <w:name w:val="Основной текст с отступом 2 Знак1"/>
    <w:basedOn w:val="661"/>
    <w:uiPriority w:val="99"/>
    <w:semiHidden/>
    <w:pPr>
      <w:pBdr/>
      <w:spacing/>
      <w:ind/>
    </w:pPr>
    <w:rPr>
      <w:rFonts w:ascii="Times New Roman" w:hAnsi="Times New Roman" w:eastAsia="Times New Roman"/>
      <w:sz w:val="24"/>
      <w:szCs w:val="24"/>
      <w:lang w:val="uk-UA" w:eastAsia="ar-SA"/>
    </w:rPr>
  </w:style>
  <w:style w:type="paragraph" w:styleId="680" w:customStyle="1">
    <w:name w:val="Содержимое таблицы"/>
    <w:basedOn w:val="660"/>
    <w:pPr>
      <w:widowControl w:val="false"/>
      <w:suppressLineNumbers w:val="true"/>
      <w:pBdr/>
      <w:spacing/>
      <w:ind/>
    </w:pPr>
    <w:rPr>
      <w:rFonts w:ascii="Times New Roman CYR" w:hAnsi="Times New Roman CYR" w:cs="Times New Roman CYR"/>
      <w:lang w:val="ru-RU" w:eastAsia="zh-CN"/>
    </w:rPr>
  </w:style>
  <w:style w:type="paragraph" w:styleId="681">
    <w:name w:val="Balloon Text"/>
    <w:basedOn w:val="660"/>
    <w:link w:val="682"/>
    <w:uiPriority w:val="99"/>
    <w:semiHidden/>
    <w:unhideWhenUsed/>
    <w:pPr>
      <w:pBdr/>
      <w:spacing/>
      <w:ind/>
    </w:pPr>
    <w:rPr>
      <w:rFonts w:ascii="Segoe UI" w:hAnsi="Segoe UI" w:cs="Segoe UI"/>
      <w:sz w:val="18"/>
      <w:szCs w:val="18"/>
    </w:rPr>
  </w:style>
  <w:style w:type="character" w:styleId="682" w:customStyle="1">
    <w:name w:val="Текст выноски Знак"/>
    <w:basedOn w:val="661"/>
    <w:link w:val="681"/>
    <w:uiPriority w:val="99"/>
    <w:semiHidden/>
    <w:pPr>
      <w:pBdr/>
      <w:spacing/>
      <w:ind/>
    </w:pPr>
    <w:rPr>
      <w:rFonts w:ascii="Segoe UI" w:hAnsi="Segoe UI" w:eastAsia="Times New Roman" w:cs="Segoe UI"/>
      <w:sz w:val="18"/>
      <w:szCs w:val="18"/>
      <w:lang w:val="uk-UA" w:eastAsia="ar-SA"/>
    </w:rPr>
  </w:style>
  <w:style w:type="paragraph" w:styleId="683" w:customStyle="1">
    <w:name w:val="Обычный1"/>
    <w:uiPriority w:val="99"/>
    <w:pPr>
      <w:pBdr/>
      <w:spacing w:line="276" w:lineRule="auto"/>
      <w:ind/>
    </w:pPr>
    <w:rPr>
      <w:rFonts w:ascii="Arial" w:hAnsi="Arial" w:eastAsia="Arial" w:cs="Arial"/>
      <w:color w:val="000000"/>
      <w:sz w:val="22"/>
      <w:szCs w:val="22"/>
    </w:rPr>
  </w:style>
  <w:style w:type="paragraph" w:styleId="684" w:customStyle="1">
    <w:name w:val="Основной текст с отступом 22"/>
    <w:basedOn w:val="660"/>
    <w:pPr>
      <w:pBdr/>
      <w:spacing/>
      <w:ind w:firstLine="709"/>
    </w:pPr>
    <w:rPr>
      <w:sz w:val="28"/>
      <w:szCs w:val="20"/>
      <w:lang w:eastAsia="ru-RU"/>
    </w:rPr>
  </w:style>
  <w:style w:type="table" w:styleId="1_2486" w:customStyle="1">
    <w:name w:val="Table Normal"/>
    <w:uiPriority w:val="2"/>
    <w:semiHidden/>
    <w:unhideWhenUsed/>
    <w:qFormat/>
    <w:pPr>
      <w:keepNext w:val="false"/>
      <w:keepLines w:val="false"/>
      <w:pageBreakBefore w:val="false"/>
      <w:widowControl w:val="fals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after="0" w:afterAutospacing="0" w:before="0" w:beforeAutospacing="0" w:line="240" w:lineRule="auto"/>
      <w:ind w:right="0" w:firstLine="0" w:left="0"/>
      <w:contextualSpacing w:val="false"/>
      <w:jc w:val="left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en-US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top w:w="0" w:type="dxa"/>
        <w:right w:w="0" w:type="dxa"/>
        <w:bottom w:w="0" w:type="dxa"/>
      </w:tblCellMar>
    </w:tblPr>
    <w:trPr>
      <w:cantSplit w:val="false"/>
      <w:jc w:val="left"/>
    </w:trPr>
    <w:tcPr>
      <w:tcBorders/>
      <w:tcW w:w="0" w:type="auto"/>
      <w:vAlign w:val="top"/>
      <w:vMerge w:val="restart"/>
      <w:hMerge w:val="restart"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8A8E-7500-4DE2-9B0E-A24B77E8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revision>3</cp:revision>
  <dcterms:created xsi:type="dcterms:W3CDTF">2023-10-03T15:49:00Z</dcterms:created>
  <dcterms:modified xsi:type="dcterms:W3CDTF">2024-04-10T13:48:42Z</dcterms:modified>
</cp:coreProperties>
</file>