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hd w:val="clear" w:color="auto" w:fill="ffffff"/>
        <w:spacing w:after="0" w:line="240" w:lineRule="auto"/>
        <w:ind/>
        <w:jc w:val="righ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Додаток 1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</w:p>
    <w:p>
      <w:pPr>
        <w:pBdr/>
        <w:shd w:val="clear" w:color="auto" w:fill="ffffff"/>
        <w:spacing w:after="0" w:line="240" w:lineRule="auto"/>
        <w:ind/>
        <w:jc w:val="righ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</w:p>
    <w:p>
      <w:pPr>
        <w:pBdr/>
        <w:shd w:val="clear" w:color="auto" w:fill="ffffff"/>
        <w:spacing w:after="0" w:line="240" w:lineRule="auto"/>
        <w:ind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</w:p>
    <w:p>
      <w:pPr>
        <w:pBdr/>
        <w:shd w:val="clear" w:color="auto" w:fill="ffffff"/>
        <w:spacing w:after="0" w:line="240" w:lineRule="auto"/>
        <w:ind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визначеним у статті 16 Закону</w:t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</w:p>
    <w:tbl>
      <w:tblPr>
        <w:tblW w:w="9561" w:type="dxa"/>
        <w:jc w:val="center"/>
        <w:tblBorders/>
        <w:tblCellMar>
          <w:left w:w="100" w:type="dxa"/>
          <w:top w:w="100" w:type="dxa"/>
          <w:right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>
        <w:trPr>
          <w:jc w:val="center"/>
          <w:trHeight w:val="69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44" w:type="dxa"/>
            <w:vAlign w:val="center"/>
            <w:textDirection w:val="lrTb"/>
            <w:noWrap w:val="false"/>
          </w:tcPr>
          <w:p>
            <w:pPr>
              <w:pBdr/>
              <w:spacing w:after="0" w:before="24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669" w:type="dxa"/>
            <w:vAlign w:val="center"/>
            <w:textDirection w:val="lrTb"/>
            <w:noWrap w:val="false"/>
          </w:tcPr>
          <w:p>
            <w:pPr>
              <w:pBdr/>
              <w:spacing w:after="0" w:before="24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Кваліфікаційні критерії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348" w:type="dxa"/>
            <w:vAlign w:val="center"/>
            <w:textDirection w:val="lrTb"/>
            <w:noWrap w:val="false"/>
          </w:tcPr>
          <w:p>
            <w:pPr>
              <w:pBdr/>
              <w:spacing w:after="0" w:before="24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Документи, які підтверджують відповідність Учасника кваліфікаційним критеріям**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</w:tr>
      <w:tr>
        <w:trPr>
          <w:jc w:val="center"/>
          <w:trHeight w:val="58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4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66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34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1.1.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Довідка в довільній формі, з інформацією про виконання  аналогічних за предметом закупівлі договорів  (не менше двох договорів).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коду ДК 021:2015 -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39160000-1 Шкільні меблі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Деталізований код ДК 021:2015 39162100-6 -навчальне обладнання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)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1.2. На підтвердження досвіду виконання аналогічних за предметом закупівлі договорів Учасник має надати: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</w:tc>
      </w:tr>
    </w:tbl>
    <w:p>
      <w:pPr>
        <w:pBdr/>
        <w:spacing w:after="0" w:before="240" w:line="240" w:lineRule="auto"/>
        <w:ind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r>
    </w:p>
    <w:p>
      <w:pPr>
        <w:pBdr/>
        <w:spacing w:after="0" w:before="240" w:line="240" w:lineRule="auto"/>
        <w:ind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Перелік документів та інформації  для підтвердження відповідності УЧАСНИКА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та ПЕРЕМОЖЦЯ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відповідності до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п.47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Особливостей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r>
    </w:p>
    <w:tbl>
      <w:tblPr>
        <w:tblW w:w="0" w:type="auto"/>
        <w:tblBorders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80"/>
        <w:gridCol w:w="2702"/>
        <w:gridCol w:w="2207"/>
        <w:gridCol w:w="41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pBdr/>
              <w:spacing w:line="0" w:lineRule="atLeast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pBdr/>
              <w:spacing w:line="0" w:lineRule="atLeast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Підстави для відмови в участі у процедурі закупівлі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Bdr/>
              <w:spacing w:line="0" w:lineRule="atLeast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Учасник процедури закупівлі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pBdr/>
              <w:spacing w:line="0" w:lineRule="atLeast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1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пов’язані з корупцією правопорушення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2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3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переможець надає довідку або інформаційну довідку або витяг з Реєстру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Єдиного державного реєстру осіб, які вчинили корупційні правопорушення)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керівника* учасника процедури закупі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або фізичну особу, яка є учасником процедури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закупівлі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про те, що керівника учасника процедури закупі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і, фізичну особу, яка є учасником процедури закупівлі,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було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суб’єкт господарювання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(учасник процедури закупівлі) протягом останніх трьох років притягував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4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фізи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5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має надати повний витяг з інформацій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судимості не має та в розшуку не перебуває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Документ повинен бути не більше тридцятиденної давнини від дати видачі документа.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хабарництвом, шахрайством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(підпункт 6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відповідальності не притягується, незнятої чи непогашеної судимості не має та 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розшуку не перебуває.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Документ повинен бути не більше тридцятиденної давнини від дати видачі документа.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7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8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9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юридична особа, яка є учасником проце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10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(лише у випадку, якщо вартість закупівлі дорівнює або перевищує 20 мільйонів гривень (у тому числі за лотом)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 неї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публічних закупівель товарів, робіт і послуг згідно із Законом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України “Про санкції”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“,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11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(підпункт 12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Документ повинен бути не більше тридцятиденної давнини від дати видачі документа.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</w:tr>
    </w:tbl>
    <w:p>
      <w:pPr>
        <w:pBdr/>
        <w:spacing w:after="0" w:before="240" w:line="240" w:lineRule="auto"/>
        <w:ind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pBdr/>
        <w:spacing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uk-UA"/>
        </w:rPr>
        <w:t xml:space="preserve">на керівника юридичної особи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, а не керівника відокремленого підрозділу або філії.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r>
      <w:r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r>
    </w:p>
    <w:p>
      <w:pPr>
        <w:pBdr/>
        <w:shd w:val="clear" w:color="auto" w:fill="ffffff"/>
        <w:spacing w:after="0" w:before="240" w:line="240" w:lineRule="auto"/>
        <w:ind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3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Інша інформація (для УЧАСНИКІВ - юридичних осіб, фізичних осіб та фізичних осіб-підприємців).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r>
    </w:p>
    <w:tbl>
      <w:tblPr>
        <w:tblW w:w="9598" w:type="dxa"/>
        <w:tblBorders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598"/>
      </w:tblGrid>
      <w:tr>
        <w:trPr>
          <w:trHeight w:val="124"/>
        </w:trPr>
        <w:tc>
          <w:tcPr>
            <w:shd w:val="clear" w:color="auto" w:fill="cccccc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598" w:type="dxa"/>
            <w:textDirection w:val="lrTb"/>
            <w:noWrap w:val="false"/>
          </w:tcPr>
          <w:p>
            <w:pPr>
              <w:pBdr/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Інші документи від Учасника: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</w:tr>
    </w:tbl>
    <w:p>
      <w:pPr>
        <w:pBdr/>
        <w:spacing w:after="0" w:before="240" w:line="240" w:lineRule="auto"/>
        <w:ind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r>
    </w:p>
    <w:tbl>
      <w:tblPr>
        <w:tblW w:w="9560" w:type="dxa"/>
        <w:tblInd w:w="85" w:type="dxa"/>
        <w:tblBorders/>
        <w:tblCellMar>
          <w:left w:w="100" w:type="dxa"/>
          <w:top w:w="100" w:type="dxa"/>
          <w:right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>
        <w:trPr>
          <w:trHeight w:val="807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986" w:type="dxa"/>
            <w:textDirection w:val="lrTb"/>
            <w:noWrap w:val="false"/>
          </w:tcPr>
          <w:p>
            <w:pPr>
              <w:pBdr/>
              <w:spacing w:after="0" w:line="240" w:lineRule="auto"/>
              <w:ind w:left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74" w:type="dxa"/>
            <w:textDirection w:val="lrTb"/>
            <w:noWrap w:val="false"/>
          </w:tcPr>
          <w:p>
            <w:pPr>
              <w:pBdr/>
              <w:spacing w:after="0" w:line="240" w:lineRule="auto"/>
              <w:ind w:left="1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873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986" w:type="dxa"/>
            <w:textDirection w:val="lrTb"/>
            <w:noWrap w:val="false"/>
          </w:tcPr>
          <w:p>
            <w:pPr>
              <w:pBdr/>
              <w:spacing w:after="0" w:before="240" w:line="240" w:lineRule="auto"/>
              <w:ind w:left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74" w:type="dxa"/>
            <w:textDirection w:val="lrTb"/>
            <w:noWrap w:val="false"/>
          </w:tcPr>
          <w:p>
            <w:pPr>
              <w:pStyle w:val="841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Також, учасник надає: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  <w:p>
            <w:pPr>
              <w:pStyle w:val="841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  <w:p>
            <w:pPr>
              <w:pStyle w:val="841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- витяг/свідоцтво про сплату ПДВ/єдиного податку;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  <w:p>
            <w:pPr>
              <w:pStyle w:val="841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Для іноземного учасника - завірений переклад витягу з торгового реєстру, тощо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  <w:p>
            <w:pPr>
              <w:pStyle w:val="841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</w:tc>
      </w:tr>
    </w:tbl>
    <w:p>
      <w:pPr>
        <w:pBdr/>
        <w:spacing/>
        <w:ind/>
        <w:rPr>
          <w:lang w:val="uk-UA"/>
        </w:rPr>
      </w:pPr>
      <w:r>
        <w:rPr>
          <w:lang w:val="uk-UA"/>
        </w:rPr>
      </w:r>
      <w:r>
        <w:rPr>
          <w:lang w:val="uk-UA"/>
        </w:rPr>
      </w:r>
      <w:r>
        <w:rPr>
          <w:lang w:val="uk-UA"/>
        </w:rPr>
      </w:r>
    </w:p>
    <w:p>
      <w:pPr>
        <w:pBdr/>
        <w:spacing/>
        <w:ind/>
        <w:rPr>
          <w:lang w:val="uk-UA"/>
        </w:rPr>
      </w:pPr>
      <w:r>
        <w:rPr>
          <w:lang w:val="uk-UA"/>
        </w:rPr>
      </w:r>
      <w:r>
        <w:rPr>
          <w:lang w:val="uk-UA"/>
        </w:rPr>
      </w:r>
      <w:r>
        <w:rPr>
          <w:lang w:val="uk-UA"/>
        </w:rPr>
      </w:r>
    </w:p>
    <w:p>
      <w:pPr>
        <w:pBdr/>
        <w:spacing/>
        <w:ind/>
        <w:rPr>
          <w:lang w:val="uk-UA"/>
        </w:rPr>
      </w:pPr>
      <w:r>
        <w:rPr>
          <w:lang w:val="uk-UA"/>
        </w:rPr>
      </w:r>
      <w:r>
        <w:rPr>
          <w:lang w:val="uk-UA"/>
        </w:rPr>
      </w:r>
      <w:r>
        <w:rPr>
          <w:lang w:val="uk-UA"/>
        </w:rPr>
      </w:r>
    </w:p>
    <w:p>
      <w:pPr>
        <w:pBdr/>
        <w:tabs>
          <w:tab w:val="left" w:leader="none" w:pos="993"/>
        </w:tabs>
        <w:spacing/>
        <w:ind w:firstLine="568"/>
        <w:jc w:val="both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>
        <w:rPr>
          <w:lang w:val="uk-UA"/>
        </w:rPr>
      </w:r>
    </w:p>
    <w:p>
      <w:pPr>
        <w:pBdr/>
        <w:spacing/>
        <w:ind/>
        <w:rPr>
          <w:lang w:val="uk-UA"/>
        </w:rPr>
      </w:pPr>
      <w:r>
        <w:rPr>
          <w:lang w:val="uk-UA"/>
        </w:rPr>
      </w:r>
      <w:r>
        <w:rPr>
          <w:lang w:val="uk-UA"/>
        </w:rPr>
      </w:r>
      <w:r>
        <w:rPr>
          <w:lang w:val="uk-UA"/>
        </w:rPr>
      </w:r>
    </w:p>
    <w:sectPr>
      <w:footnotePr/>
      <w:endnotePr/>
      <w:type w:val="nextPage"/>
      <w:pgSz w:h="15840" w:orient="landscape" w:w="12240"/>
      <w:pgMar w:top="1440" w:right="1440" w:bottom="1440" w:left="14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1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2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7"/>
    <w:next w:val="837"/>
    <w:link w:val="661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8"/>
    <w:link w:val="660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62">
    <w:name w:val="Heading 2"/>
    <w:basedOn w:val="837"/>
    <w:next w:val="837"/>
    <w:link w:val="663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8"/>
    <w:link w:val="662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4">
    <w:name w:val="Heading 3"/>
    <w:basedOn w:val="837"/>
    <w:next w:val="837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8"/>
    <w:link w:val="664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6">
    <w:name w:val="Heading 4"/>
    <w:basedOn w:val="837"/>
    <w:next w:val="837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8"/>
    <w:link w:val="666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7"/>
    <w:next w:val="837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8"/>
    <w:link w:val="66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7"/>
    <w:next w:val="837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8"/>
    <w:link w:val="670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7"/>
    <w:next w:val="837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8"/>
    <w:link w:val="67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7"/>
    <w:next w:val="837"/>
    <w:link w:val="675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8"/>
    <w:link w:val="674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7"/>
    <w:next w:val="837"/>
    <w:link w:val="677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8"/>
    <w:link w:val="67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7"/>
    <w:uiPriority w:val="34"/>
    <w:qFormat/>
    <w:pPr>
      <w:pBdr/>
      <w:spacing/>
      <w:ind w:left="720"/>
      <w:contextualSpacing w:val="true"/>
    </w:pPr>
  </w:style>
  <w:style w:type="paragraph" w:styleId="679">
    <w:name w:val="No Spacing"/>
    <w:uiPriority w:val="1"/>
    <w:qFormat/>
    <w:pPr>
      <w:pBdr/>
      <w:spacing w:after="0" w:before="0" w:line="240" w:lineRule="auto"/>
      <w:ind/>
    </w:pPr>
  </w:style>
  <w:style w:type="paragraph" w:styleId="680">
    <w:name w:val="Title"/>
    <w:basedOn w:val="837"/>
    <w:next w:val="837"/>
    <w:link w:val="681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81">
    <w:name w:val="Title Char"/>
    <w:basedOn w:val="838"/>
    <w:link w:val="680"/>
    <w:uiPriority w:val="10"/>
    <w:pPr>
      <w:pBdr/>
      <w:spacing/>
      <w:ind/>
    </w:pPr>
    <w:rPr>
      <w:sz w:val="48"/>
      <w:szCs w:val="48"/>
    </w:rPr>
  </w:style>
  <w:style w:type="paragraph" w:styleId="682">
    <w:name w:val="Subtitle"/>
    <w:basedOn w:val="837"/>
    <w:next w:val="837"/>
    <w:link w:val="683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83">
    <w:name w:val="Subtitle Char"/>
    <w:basedOn w:val="838"/>
    <w:link w:val="682"/>
    <w:uiPriority w:val="11"/>
    <w:pPr>
      <w:pBdr/>
      <w:spacing/>
      <w:ind/>
    </w:pPr>
    <w:rPr>
      <w:sz w:val="24"/>
      <w:szCs w:val="24"/>
    </w:rPr>
  </w:style>
  <w:style w:type="paragraph" w:styleId="684">
    <w:name w:val="Quote"/>
    <w:basedOn w:val="837"/>
    <w:next w:val="837"/>
    <w:link w:val="685"/>
    <w:uiPriority w:val="29"/>
    <w:qFormat/>
    <w:pPr>
      <w:pBdr/>
      <w:spacing/>
      <w:ind w:right="720" w:left="720"/>
    </w:pPr>
    <w:rPr>
      <w:i/>
    </w:rPr>
  </w:style>
  <w:style w:type="character" w:styleId="685">
    <w:name w:val="Quote Char"/>
    <w:link w:val="684"/>
    <w:uiPriority w:val="29"/>
    <w:pPr>
      <w:pBdr/>
      <w:spacing/>
      <w:ind/>
    </w:pPr>
    <w:rPr>
      <w:i/>
    </w:rPr>
  </w:style>
  <w:style w:type="paragraph" w:styleId="686">
    <w:name w:val="Intense Quote"/>
    <w:basedOn w:val="837"/>
    <w:next w:val="837"/>
    <w:link w:val="687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7">
    <w:name w:val="Intense Quote Char"/>
    <w:link w:val="686"/>
    <w:uiPriority w:val="30"/>
    <w:pPr>
      <w:pBdr/>
      <w:spacing/>
      <w:ind/>
    </w:pPr>
    <w:rPr>
      <w:i/>
    </w:rPr>
  </w:style>
  <w:style w:type="paragraph" w:styleId="688">
    <w:name w:val="Header"/>
    <w:basedOn w:val="837"/>
    <w:link w:val="689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9">
    <w:name w:val="Header Char"/>
    <w:basedOn w:val="838"/>
    <w:link w:val="688"/>
    <w:uiPriority w:val="99"/>
    <w:pPr>
      <w:pBdr/>
      <w:spacing/>
      <w:ind/>
    </w:pPr>
  </w:style>
  <w:style w:type="paragraph" w:styleId="690">
    <w:name w:val="Footer"/>
    <w:basedOn w:val="837"/>
    <w:link w:val="69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1">
    <w:name w:val="Footer Char"/>
    <w:basedOn w:val="838"/>
    <w:link w:val="690"/>
    <w:uiPriority w:val="99"/>
    <w:pPr>
      <w:pBdr/>
      <w:spacing/>
      <w:ind/>
    </w:pPr>
  </w:style>
  <w:style w:type="paragraph" w:styleId="692">
    <w:name w:val="Caption"/>
    <w:basedOn w:val="837"/>
    <w:next w:val="83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  <w:pPr>
      <w:pBdr/>
      <w:spacing/>
      <w:ind/>
    </w:pPr>
  </w:style>
  <w:style w:type="table" w:styleId="694">
    <w:name w:val="Table Grid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Table Grid Light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Plain Table 1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Plain Table 2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Plain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Plain Table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Plain Table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1 Light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1 Light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1 Light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1 Light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2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2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2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2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3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3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3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3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1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 - Accent 2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4 - Accent 3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4 - Accent 4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4 - Accent 5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4 - Accent 6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5 Dark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5 Dark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5 Dark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5 Dark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6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6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6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6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7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7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7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7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1 Light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1 Light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1 Light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1 Light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2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2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2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2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3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3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3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3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4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4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4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4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5 Dark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5 Dark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5 Dark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5 Dark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6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6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6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6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7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7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7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7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1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 2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ned - Accent 3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ned - Accent 4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ned - Accent 5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ned - Accent 6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1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 2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&amp; Lined - Accent 3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&amp; Lined - Accent 4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&amp; Lined - Accent 5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&amp; Lined - Accent 6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1">
    <w:name w:val="Footnote Text Char"/>
    <w:link w:val="820"/>
    <w:uiPriority w:val="99"/>
    <w:pPr>
      <w:pBdr/>
      <w:spacing/>
      <w:ind/>
    </w:pPr>
    <w:rPr>
      <w:sz w:val="18"/>
    </w:rPr>
  </w:style>
  <w:style w:type="character" w:styleId="822">
    <w:name w:val="footnote reference"/>
    <w:basedOn w:val="838"/>
    <w:uiPriority w:val="99"/>
    <w:unhideWhenUsed/>
    <w:pPr>
      <w:pBdr/>
      <w:spacing/>
      <w:ind/>
    </w:pPr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4">
    <w:name w:val="Endnote Text Char"/>
    <w:link w:val="823"/>
    <w:uiPriority w:val="99"/>
    <w:pPr>
      <w:pBdr/>
      <w:spacing/>
      <w:ind/>
    </w:pPr>
    <w:rPr>
      <w:sz w:val="20"/>
    </w:rPr>
  </w:style>
  <w:style w:type="character" w:styleId="825">
    <w:name w:val="endnote reference"/>
    <w:basedOn w:val="838"/>
    <w:uiPriority w:val="99"/>
    <w:semiHidden/>
    <w:unhideWhenUsed/>
    <w:pPr>
      <w:pBdr/>
      <w:spacing/>
      <w:ind/>
    </w:pPr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pBdr/>
      <w:spacing w:after="57"/>
      <w:ind w:right="0" w:firstLine="0" w:left="0"/>
    </w:pPr>
  </w:style>
  <w:style w:type="paragraph" w:styleId="827">
    <w:name w:val="toc 2"/>
    <w:basedOn w:val="837"/>
    <w:next w:val="837"/>
    <w:uiPriority w:val="39"/>
    <w:unhideWhenUsed/>
    <w:pPr>
      <w:pBdr/>
      <w:spacing w:after="57"/>
      <w:ind w:right="0" w:firstLine="0" w:left="283"/>
    </w:pPr>
  </w:style>
  <w:style w:type="paragraph" w:styleId="828">
    <w:name w:val="toc 3"/>
    <w:basedOn w:val="837"/>
    <w:next w:val="837"/>
    <w:uiPriority w:val="39"/>
    <w:unhideWhenUsed/>
    <w:pPr>
      <w:pBdr/>
      <w:spacing w:after="57"/>
      <w:ind w:right="0" w:firstLine="0" w:left="567"/>
    </w:pPr>
  </w:style>
  <w:style w:type="paragraph" w:styleId="829">
    <w:name w:val="toc 4"/>
    <w:basedOn w:val="837"/>
    <w:next w:val="837"/>
    <w:uiPriority w:val="39"/>
    <w:unhideWhenUsed/>
    <w:pPr>
      <w:pBdr/>
      <w:spacing w:after="57"/>
      <w:ind w:right="0" w:firstLine="0" w:left="850"/>
    </w:pPr>
  </w:style>
  <w:style w:type="paragraph" w:styleId="830">
    <w:name w:val="toc 5"/>
    <w:basedOn w:val="837"/>
    <w:next w:val="837"/>
    <w:uiPriority w:val="39"/>
    <w:unhideWhenUsed/>
    <w:pPr>
      <w:pBdr/>
      <w:spacing w:after="57"/>
      <w:ind w:right="0" w:firstLine="0" w:left="1134"/>
    </w:pPr>
  </w:style>
  <w:style w:type="paragraph" w:styleId="831">
    <w:name w:val="toc 6"/>
    <w:basedOn w:val="837"/>
    <w:next w:val="837"/>
    <w:uiPriority w:val="39"/>
    <w:unhideWhenUsed/>
    <w:pPr>
      <w:pBdr/>
      <w:spacing w:after="57"/>
      <w:ind w:right="0" w:firstLine="0" w:left="1417"/>
    </w:pPr>
  </w:style>
  <w:style w:type="paragraph" w:styleId="832">
    <w:name w:val="toc 7"/>
    <w:basedOn w:val="837"/>
    <w:next w:val="837"/>
    <w:uiPriority w:val="39"/>
    <w:unhideWhenUsed/>
    <w:pPr>
      <w:pBdr/>
      <w:spacing w:after="57"/>
      <w:ind w:right="0" w:firstLine="0" w:left="1701"/>
    </w:pPr>
  </w:style>
  <w:style w:type="paragraph" w:styleId="833">
    <w:name w:val="toc 8"/>
    <w:basedOn w:val="837"/>
    <w:next w:val="837"/>
    <w:uiPriority w:val="39"/>
    <w:unhideWhenUsed/>
    <w:pPr>
      <w:pBdr/>
      <w:spacing w:after="57"/>
      <w:ind w:right="0" w:firstLine="0" w:left="1984"/>
    </w:pPr>
  </w:style>
  <w:style w:type="paragraph" w:styleId="834">
    <w:name w:val="toc 9"/>
    <w:basedOn w:val="837"/>
    <w:next w:val="837"/>
    <w:uiPriority w:val="39"/>
    <w:unhideWhenUsed/>
    <w:pPr>
      <w:pBdr/>
      <w:spacing w:after="57"/>
      <w:ind w:right="0" w:firstLine="0" w:left="2268"/>
    </w:pPr>
  </w:style>
  <w:style w:type="paragraph" w:styleId="835">
    <w:name w:val="TOC Heading"/>
    <w:uiPriority w:val="39"/>
    <w:unhideWhenUsed/>
    <w:pPr>
      <w:pBdr/>
      <w:spacing/>
      <w:ind/>
    </w:pPr>
  </w:style>
  <w:style w:type="paragraph" w:styleId="836">
    <w:name w:val="table of figures"/>
    <w:basedOn w:val="837"/>
    <w:next w:val="837"/>
    <w:uiPriority w:val="99"/>
    <w:unhideWhenUsed/>
    <w:pPr>
      <w:pBdr/>
      <w:spacing w:after="0" w:afterAutospacing="0"/>
      <w:ind/>
    </w:pPr>
  </w:style>
  <w:style w:type="paragraph" w:styleId="837" w:default="1">
    <w:name w:val="Normal"/>
    <w:qFormat/>
    <w:pPr>
      <w:pBdr/>
      <w:spacing w:after="160" w:line="259" w:lineRule="auto"/>
      <w:ind/>
    </w:pPr>
    <w:rPr>
      <w:lang w:val="ru-RU"/>
    </w:rPr>
  </w:style>
  <w:style w:type="character" w:styleId="838" w:default="1">
    <w:name w:val="Default Paragraph Font"/>
    <w:uiPriority w:val="1"/>
    <w:semiHidden/>
    <w:unhideWhenUsed/>
    <w:pPr>
      <w:pBdr/>
      <w:spacing/>
      <w:ind/>
    </w:pPr>
  </w:style>
  <w:style w:type="table" w:styleId="83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0" w:default="1">
    <w:name w:val="No List"/>
    <w:uiPriority w:val="99"/>
    <w:semiHidden/>
    <w:unhideWhenUsed/>
    <w:pPr>
      <w:pBdr/>
      <w:spacing/>
      <w:ind/>
    </w:pPr>
  </w:style>
  <w:style w:type="paragraph" w:styleId="841" w:customStyle="1">
    <w:name w:val="Обычный1"/>
    <w:qFormat/>
    <w:pPr>
      <w:pBdr/>
      <w:spacing w:after="0"/>
      <w:ind/>
    </w:pPr>
    <w:rPr>
      <w:rFonts w:ascii="Arial" w:hAnsi="Arial" w:eastAsia="Arial" w:cs="Arial"/>
      <w:color w:val="000000"/>
      <w:lang w:val="ru-RU" w:eastAsia="ru-RU"/>
    </w:rPr>
  </w:style>
  <w:style w:type="character" w:styleId="842">
    <w:name w:val="Hyperlink"/>
    <w:basedOn w:val="838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43">
    <w:name w:val="Normal (Web)"/>
    <w:basedOn w:val="837"/>
    <w:uiPriority w:val="99"/>
    <w:unhideWhenUsed/>
    <w:pPr>
      <w:pBdr/>
      <w:spacing w:after="100" w:afterAutospacing="1" w:before="100" w:beforeAutospacing="1" w:line="240" w:lineRule="auto"/>
      <w:ind/>
    </w:pPr>
    <w:rPr>
      <w:rFonts w:ascii="Times New Roman" w:hAnsi="Times New Roman"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revision>14</cp:revision>
  <dcterms:created xsi:type="dcterms:W3CDTF">2023-02-26T19:37:00Z</dcterms:created>
  <dcterms:modified xsi:type="dcterms:W3CDTF">2024-04-09T16:38:00Z</dcterms:modified>
</cp:coreProperties>
</file>