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41B4" w14:textId="4D74B5B8" w:rsidR="00C9199C" w:rsidRPr="00BF12F0" w:rsidRDefault="00C9199C" w:rsidP="00C91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Протокол № </w:t>
      </w:r>
      <w:r w:rsidR="00997C8F">
        <w:rPr>
          <w:rFonts w:ascii="Times New Roman" w:hAnsi="Times New Roman" w:cs="Times New Roman"/>
          <w:b/>
          <w:bCs/>
          <w:sz w:val="25"/>
          <w:szCs w:val="25"/>
          <w:lang w:val="uk-UA"/>
        </w:rPr>
        <w:t>08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/</w:t>
      </w:r>
      <w:r w:rsid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01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-</w:t>
      </w:r>
      <w:r w:rsidR="00997C8F">
        <w:rPr>
          <w:rFonts w:ascii="Times New Roman" w:hAnsi="Times New Roman" w:cs="Times New Roman"/>
          <w:b/>
          <w:bCs/>
          <w:sz w:val="25"/>
          <w:szCs w:val="25"/>
          <w:lang w:val="uk-UA"/>
        </w:rPr>
        <w:t>24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-</w:t>
      </w:r>
      <w:r w:rsid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1</w:t>
      </w:r>
    </w:p>
    <w:p w14:paraId="2FD86118" w14:textId="77777777" w:rsidR="00C9199C" w:rsidRPr="00BF12F0" w:rsidRDefault="00C9199C" w:rsidP="00C91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Уповноваженого з публічних </w:t>
      </w:r>
      <w:proofErr w:type="spellStart"/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закупівель</w:t>
      </w:r>
      <w:proofErr w:type="spellEnd"/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</w:t>
      </w:r>
    </w:p>
    <w:p w14:paraId="1B11B33B" w14:textId="77777777" w:rsidR="00C9199C" w:rsidRPr="00BF12F0" w:rsidRDefault="00C9199C" w:rsidP="00C91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115AC4A" w14:textId="087C7AB9" w:rsidR="00C9199C" w:rsidRPr="00BF12F0" w:rsidRDefault="00C9199C" w:rsidP="00C9199C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Київ    </w:t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ab/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ab/>
        <w:t xml:space="preserve">                                      </w:t>
      </w:r>
      <w:r w:rsidR="00BF12F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        </w:t>
      </w:r>
      <w:r w:rsidRPr="00BF12F0">
        <w:rPr>
          <w:rFonts w:ascii="Times New Roman" w:hAnsi="Times New Roman" w:cs="Times New Roman"/>
          <w:b/>
          <w:sz w:val="25"/>
          <w:szCs w:val="25"/>
          <w:lang w:val="uk-UA"/>
        </w:rPr>
        <w:t xml:space="preserve"> 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«</w:t>
      </w:r>
      <w:r w:rsidR="00997C8F">
        <w:rPr>
          <w:rFonts w:ascii="Times New Roman" w:hAnsi="Times New Roman" w:cs="Times New Roman"/>
          <w:b/>
          <w:bCs/>
          <w:sz w:val="25"/>
          <w:szCs w:val="25"/>
          <w:lang w:val="uk-UA"/>
        </w:rPr>
        <w:t>08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» </w:t>
      </w:r>
      <w:r w:rsidR="00BF12F0"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>січня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202</w:t>
      </w:r>
      <w:r w:rsidR="00997C8F">
        <w:rPr>
          <w:rFonts w:ascii="Times New Roman" w:hAnsi="Times New Roman" w:cs="Times New Roman"/>
          <w:b/>
          <w:bCs/>
          <w:sz w:val="25"/>
          <w:szCs w:val="25"/>
          <w:lang w:val="uk-UA"/>
        </w:rPr>
        <w:t>4</w:t>
      </w:r>
      <w:r w:rsidRPr="00BF12F0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 року</w:t>
      </w:r>
    </w:p>
    <w:p w14:paraId="34610129" w14:textId="77777777" w:rsidR="00BF12F0" w:rsidRPr="00F951DF" w:rsidRDefault="00BF12F0" w:rsidP="00BF1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1D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F951DF">
        <w:rPr>
          <w:rFonts w:ascii="Times New Roman" w:hAnsi="Times New Roman" w:cs="Times New Roman"/>
          <w:b/>
          <w:sz w:val="24"/>
          <w:szCs w:val="24"/>
        </w:rPr>
        <w:t>денний</w:t>
      </w:r>
      <w:proofErr w:type="spellEnd"/>
      <w:r w:rsidRPr="00F951DF">
        <w:rPr>
          <w:rFonts w:ascii="Times New Roman" w:hAnsi="Times New Roman" w:cs="Times New Roman"/>
          <w:b/>
          <w:sz w:val="24"/>
          <w:szCs w:val="24"/>
        </w:rPr>
        <w:t>:</w:t>
      </w:r>
      <w:r w:rsidRPr="00F951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25BB54" w14:textId="49C0E526" w:rsidR="00C9199C" w:rsidRPr="00BF12F0" w:rsidRDefault="00BF12F0" w:rsidP="00C9199C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4BE8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оприлюднення звіту про </w:t>
      </w:r>
      <w:bookmarkStart w:id="0" w:name="_Hlk37170023"/>
      <w:r w:rsidRPr="009B279F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Pr="004769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732B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Пара, гаряча вода та пов'язана продукція (теплова енергія) (ДК 021:2015: 09320000-8 - Пара, гаряча вода та пов’язана продукція)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76989">
        <w:rPr>
          <w:rFonts w:ascii="Times New Roman" w:hAnsi="Times New Roman" w:cs="Times New Roman"/>
          <w:sz w:val="24"/>
          <w:szCs w:val="24"/>
        </w:rPr>
        <w:t>(далі -</w:t>
      </w:r>
      <w:r w:rsidRPr="00476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6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476989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476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6989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47698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476989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823B23B" w14:textId="77777777" w:rsidR="00BF12F0" w:rsidRPr="00BF12F0" w:rsidRDefault="00BF12F0" w:rsidP="00BF12F0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3A971B9" w14:textId="77777777" w:rsidR="00BF12F0" w:rsidRPr="00F951DF" w:rsidRDefault="00BF12F0" w:rsidP="00BF1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Під</w:t>
      </w:r>
      <w:proofErr w:type="spell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час </w:t>
      </w:r>
      <w:proofErr w:type="spell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розгляду</w:t>
      </w:r>
      <w:proofErr w:type="spell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першого</w:t>
      </w:r>
      <w:proofErr w:type="spell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питання</w:t>
      </w:r>
      <w:proofErr w:type="spell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порядку денного:</w:t>
      </w:r>
    </w:p>
    <w:p w14:paraId="63C9D173" w14:textId="6DA7C039" w:rsidR="00C9199C" w:rsidRDefault="00BF12F0" w:rsidP="00BF1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951D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951D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5 </w:t>
      </w:r>
      <w:r w:rsidRPr="00F951DF">
        <w:rPr>
          <w:rFonts w:ascii="Times New Roman" w:hAnsi="Times New Roman" w:cs="Times New Roman"/>
          <w:sz w:val="24"/>
          <w:szCs w:val="24"/>
        </w:rPr>
        <w:t>пункту 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Постанови КМУ №1178 </w:t>
      </w:r>
      <w:r w:rsidRPr="009B2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ридбання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замовниками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з поточного ремонту),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100 тис.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з поточного ремонту,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200 тис.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1,5 млн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каталогу для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>, коли: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1963A" w14:textId="0B14F583" w:rsidR="00BF12F0" w:rsidRDefault="00BF12F0" w:rsidP="00BF12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F0">
        <w:rPr>
          <w:rFonts w:ascii="Times New Roman" w:hAnsi="Times New Roman" w:cs="Times New Roman"/>
          <w:sz w:val="24"/>
          <w:szCs w:val="24"/>
        </w:rPr>
        <w:t xml:space="preserve">роботи, товари чи послуги можуть бути виконані, поставлені чи надані виключно певним суб’єктом господарювання, а саме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звʼязку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r w:rsidRPr="00BF12F0">
        <w:rPr>
          <w:rFonts w:ascii="Times New Roman" w:hAnsi="Times New Roman" w:cs="Times New Roman"/>
          <w:sz w:val="24"/>
          <w:szCs w:val="24"/>
        </w:rPr>
        <w:t>відсутніст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12F0">
        <w:rPr>
          <w:rFonts w:ascii="Times New Roman" w:hAnsi="Times New Roman" w:cs="Times New Roman"/>
          <w:sz w:val="24"/>
          <w:szCs w:val="24"/>
        </w:rPr>
        <w:t xml:space="preserve"> конкуренції з технічних причин, яка повинна бути документально підтверджена замовником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F6CDFA" w14:textId="77777777" w:rsidR="009E0017" w:rsidRDefault="00BF12F0" w:rsidP="009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пункти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КМУ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1178 </w:t>
      </w:r>
      <w:r w:rsidRPr="009B279F">
        <w:rPr>
          <w:rFonts w:ascii="Times New Roman" w:hAnsi="Times New Roman" w:cs="Times New Roman"/>
          <w:sz w:val="24"/>
          <w:szCs w:val="24"/>
        </w:rPr>
        <w:t xml:space="preserve"> </w:t>
      </w:r>
      <w:r w:rsidRPr="00BF12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BF12F0">
        <w:rPr>
          <w:rFonts w:ascii="Times New Roman" w:hAnsi="Times New Roman" w:cs="Times New Roman"/>
          <w:sz w:val="24"/>
          <w:szCs w:val="24"/>
        </w:rPr>
        <w:t>.</w:t>
      </w:r>
    </w:p>
    <w:p w14:paraId="3E1B6820" w14:textId="0460289A" w:rsidR="00BF12F0" w:rsidRDefault="00BF12F0" w:rsidP="009E0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1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9E0017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E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0017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9E0017">
        <w:rPr>
          <w:rFonts w:ascii="Times New Roman" w:eastAsia="Times New Roman" w:hAnsi="Times New Roman" w:cs="Times New Roman"/>
          <w:sz w:val="24"/>
          <w:szCs w:val="24"/>
        </w:rPr>
        <w:t xml:space="preserve"> п. 13 </w:t>
      </w:r>
      <w:r w:rsidRPr="009E0017"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 w:rsidRPr="009E0017"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 w:rsidRPr="009E0017">
        <w:rPr>
          <w:rFonts w:ascii="Times New Roman" w:hAnsi="Times New Roman" w:cs="Times New Roman"/>
          <w:sz w:val="24"/>
          <w:szCs w:val="24"/>
        </w:rPr>
        <w:t xml:space="preserve">договір про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9E0017"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9E0017" w:rsidRPr="009E0017">
        <w:rPr>
          <w:rFonts w:ascii="Times New Roman" w:hAnsi="Times New Roman" w:cs="Times New Roman"/>
          <w:sz w:val="24"/>
          <w:szCs w:val="24"/>
        </w:rPr>
        <w:t xml:space="preserve"> «</w:t>
      </w:r>
      <w:r w:rsidR="009E0017" w:rsidRPr="009E0017">
        <w:rPr>
          <w:rFonts w:ascii="Times New Roman" w:eastAsia="Times New Roman" w:hAnsi="Times New Roman" w:cs="Times New Roman"/>
          <w:sz w:val="24"/>
          <w:szCs w:val="24"/>
        </w:rPr>
        <w:t xml:space="preserve">Пара, гаряча вода та пов'язана продукція (теплова енергія)» (ДК 021:2015: 09320000-8 - Пара, </w:t>
      </w:r>
      <w:proofErr w:type="spellStart"/>
      <w:r w:rsidR="009E0017" w:rsidRPr="009E0017">
        <w:rPr>
          <w:rFonts w:ascii="Times New Roman" w:eastAsia="Times New Roman" w:hAnsi="Times New Roman" w:cs="Times New Roman"/>
          <w:sz w:val="24"/>
          <w:szCs w:val="24"/>
        </w:rPr>
        <w:t>гаряча</w:t>
      </w:r>
      <w:proofErr w:type="spellEnd"/>
      <w:r w:rsidR="009E0017" w:rsidRPr="009E0017">
        <w:rPr>
          <w:rFonts w:ascii="Times New Roman" w:eastAsia="Times New Roman" w:hAnsi="Times New Roman" w:cs="Times New Roman"/>
          <w:sz w:val="24"/>
          <w:szCs w:val="24"/>
        </w:rPr>
        <w:t xml:space="preserve"> вода та </w:t>
      </w:r>
      <w:proofErr w:type="spellStart"/>
      <w:r w:rsidR="009E0017" w:rsidRPr="009E0017">
        <w:rPr>
          <w:rFonts w:ascii="Times New Roman" w:eastAsia="Times New Roman" w:hAnsi="Times New Roman" w:cs="Times New Roman"/>
          <w:sz w:val="24"/>
          <w:szCs w:val="24"/>
        </w:rPr>
        <w:t>пов’язана</w:t>
      </w:r>
      <w:proofErr w:type="spellEnd"/>
      <w:r w:rsidR="009E0017" w:rsidRPr="009E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0017" w:rsidRPr="009E0017">
        <w:rPr>
          <w:rFonts w:ascii="Times New Roman" w:eastAsia="Times New Roman" w:hAnsi="Times New Roman" w:cs="Times New Roman"/>
          <w:sz w:val="24"/>
          <w:szCs w:val="24"/>
        </w:rPr>
        <w:t>продукція</w:t>
      </w:r>
      <w:proofErr w:type="spellEnd"/>
      <w:r w:rsidR="009E0017" w:rsidRPr="009E001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8023C9C" w14:textId="77777777" w:rsidR="009E0017" w:rsidRPr="009E0017" w:rsidRDefault="009E0017" w:rsidP="009E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0B396" w14:textId="77777777" w:rsidR="009E0017" w:rsidRPr="00F951DF" w:rsidRDefault="009E0017" w:rsidP="009E0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1DF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5A664048" w14:textId="536D6601" w:rsidR="009E0017" w:rsidRPr="000C44CB" w:rsidRDefault="009E0017" w:rsidP="009E00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37169685"/>
      <w:proofErr w:type="spellStart"/>
      <w:r w:rsidRPr="00F951DF">
        <w:rPr>
          <w:rFonts w:ascii="Times New Roman" w:hAnsi="Times New Roman"/>
          <w:sz w:val="24"/>
          <w:szCs w:val="24"/>
        </w:rPr>
        <w:t>О</w:t>
      </w:r>
      <w:r w:rsidRPr="00F951DF">
        <w:rPr>
          <w:rFonts w:ascii="Times New Roman" w:eastAsia="Times New Roman" w:hAnsi="Times New Roman"/>
          <w:sz w:val="24"/>
          <w:szCs w:val="24"/>
        </w:rPr>
        <w:t>прилюднити</w:t>
      </w:r>
      <w:proofErr w:type="spellEnd"/>
      <w:r w:rsidRPr="00F951D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B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9F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BF12F0">
        <w:rPr>
          <w:rFonts w:ascii="Times New Roman" w:eastAsia="Times New Roman" w:hAnsi="Times New Roman" w:cs="Times New Roman"/>
          <w:sz w:val="24"/>
          <w:szCs w:val="24"/>
        </w:rPr>
        <w:t xml:space="preserve">Пара, </w:t>
      </w:r>
      <w:proofErr w:type="spellStart"/>
      <w:r w:rsidRPr="00BF12F0">
        <w:rPr>
          <w:rFonts w:ascii="Times New Roman" w:eastAsia="Times New Roman" w:hAnsi="Times New Roman" w:cs="Times New Roman"/>
          <w:sz w:val="24"/>
          <w:szCs w:val="24"/>
        </w:rPr>
        <w:t>гаряча</w:t>
      </w:r>
      <w:proofErr w:type="spellEnd"/>
      <w:r w:rsidRPr="00BF12F0">
        <w:rPr>
          <w:rFonts w:ascii="Times New Roman" w:eastAsia="Times New Roman" w:hAnsi="Times New Roman" w:cs="Times New Roman"/>
          <w:sz w:val="24"/>
          <w:szCs w:val="24"/>
        </w:rPr>
        <w:t xml:space="preserve"> вода та </w:t>
      </w:r>
      <w:proofErr w:type="spellStart"/>
      <w:r w:rsidRPr="00BF12F0">
        <w:rPr>
          <w:rFonts w:ascii="Times New Roman" w:eastAsia="Times New Roman" w:hAnsi="Times New Roman" w:cs="Times New Roman"/>
          <w:sz w:val="24"/>
          <w:szCs w:val="24"/>
        </w:rPr>
        <w:t>пов'язана</w:t>
      </w:r>
      <w:proofErr w:type="spellEnd"/>
      <w:r w:rsidRPr="00BF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eastAsia="Times New Roman" w:hAnsi="Times New Roman" w:cs="Times New Roman"/>
          <w:sz w:val="24"/>
          <w:szCs w:val="24"/>
        </w:rPr>
        <w:t>продукція</w:t>
      </w:r>
      <w:proofErr w:type="spellEnd"/>
      <w:r w:rsidRPr="00BF12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F12F0">
        <w:rPr>
          <w:rFonts w:ascii="Times New Roman" w:eastAsia="Times New Roman" w:hAnsi="Times New Roman" w:cs="Times New Roman"/>
          <w:sz w:val="24"/>
          <w:szCs w:val="24"/>
        </w:rPr>
        <w:t>теплова</w:t>
      </w:r>
      <w:proofErr w:type="spellEnd"/>
      <w:r w:rsidRPr="00BF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eastAsia="Times New Roman" w:hAnsi="Times New Roman" w:cs="Times New Roman"/>
          <w:sz w:val="24"/>
          <w:szCs w:val="24"/>
        </w:rPr>
        <w:t>енергія</w:t>
      </w:r>
      <w:proofErr w:type="spellEnd"/>
      <w:r w:rsidRPr="00BF12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7698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042E">
        <w:rPr>
          <w:rFonts w:ascii="Times New Roman" w:eastAsia="Times New Roman" w:hAnsi="Times New Roman" w:cs="Times New Roman"/>
          <w:sz w:val="24"/>
          <w:szCs w:val="24"/>
        </w:rPr>
        <w:t xml:space="preserve">ДК 021:2015: </w:t>
      </w:r>
      <w:r w:rsidRPr="00BF12F0">
        <w:rPr>
          <w:rFonts w:ascii="Times New Roman" w:eastAsia="Times New Roman" w:hAnsi="Times New Roman" w:cs="Times New Roman"/>
          <w:sz w:val="24"/>
          <w:szCs w:val="24"/>
        </w:rPr>
        <w:t xml:space="preserve">09320000-8 - Пара, </w:t>
      </w:r>
      <w:proofErr w:type="spellStart"/>
      <w:r w:rsidRPr="00BF12F0">
        <w:rPr>
          <w:rFonts w:ascii="Times New Roman" w:eastAsia="Times New Roman" w:hAnsi="Times New Roman" w:cs="Times New Roman"/>
          <w:sz w:val="24"/>
          <w:szCs w:val="24"/>
        </w:rPr>
        <w:t>гаряча</w:t>
      </w:r>
      <w:proofErr w:type="spellEnd"/>
      <w:r w:rsidRPr="00BF12F0">
        <w:rPr>
          <w:rFonts w:ascii="Times New Roman" w:eastAsia="Times New Roman" w:hAnsi="Times New Roman" w:cs="Times New Roman"/>
          <w:sz w:val="24"/>
          <w:szCs w:val="24"/>
        </w:rPr>
        <w:t xml:space="preserve"> вода та </w:t>
      </w:r>
      <w:proofErr w:type="spellStart"/>
      <w:r w:rsidRPr="00BF12F0">
        <w:rPr>
          <w:rFonts w:ascii="Times New Roman" w:eastAsia="Times New Roman" w:hAnsi="Times New Roman" w:cs="Times New Roman"/>
          <w:sz w:val="24"/>
          <w:szCs w:val="24"/>
        </w:rPr>
        <w:t>пов’язана</w:t>
      </w:r>
      <w:proofErr w:type="spellEnd"/>
      <w:r w:rsidRPr="00BF1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12F0">
        <w:rPr>
          <w:rFonts w:ascii="Times New Roman" w:eastAsia="Times New Roman" w:hAnsi="Times New Roman" w:cs="Times New Roman"/>
          <w:sz w:val="24"/>
          <w:szCs w:val="24"/>
        </w:rPr>
        <w:t>продукція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951DF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F951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Електронній</w:t>
      </w:r>
      <w:proofErr w:type="spellEnd"/>
      <w:r w:rsidRPr="00F951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951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системі</w:t>
      </w:r>
      <w:proofErr w:type="spellEnd"/>
      <w:r w:rsidRPr="00F951DF">
        <w:rPr>
          <w:rFonts w:ascii="Times New Roman" w:eastAsia="Times New Roman" w:hAnsi="Times New Roman"/>
          <w:sz w:val="24"/>
          <w:szCs w:val="24"/>
        </w:rPr>
        <w:t xml:space="preserve"> у порядку, </w:t>
      </w:r>
      <w:proofErr w:type="spellStart"/>
      <w:r w:rsidRPr="00F951DF">
        <w:rPr>
          <w:rFonts w:ascii="Times New Roman" w:eastAsia="Times New Roman" w:hAnsi="Times New Roman"/>
          <w:sz w:val="24"/>
          <w:szCs w:val="24"/>
        </w:rPr>
        <w:t>встановленому</w:t>
      </w:r>
      <w:proofErr w:type="spellEnd"/>
      <w:r w:rsidRPr="00F951D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951DF">
        <w:rPr>
          <w:rFonts w:ascii="Times New Roman" w:eastAsia="Times New Roman" w:hAnsi="Times New Roman"/>
          <w:sz w:val="24"/>
          <w:szCs w:val="24"/>
        </w:rPr>
        <w:t>Уповноваженим</w:t>
      </w:r>
      <w:proofErr w:type="spellEnd"/>
      <w:r w:rsidRPr="00F951D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951DF">
        <w:rPr>
          <w:rFonts w:ascii="Times New Roman" w:eastAsia="Times New Roman" w:hAnsi="Times New Roman"/>
          <w:sz w:val="24"/>
          <w:szCs w:val="24"/>
        </w:rPr>
        <w:t>органом</w:t>
      </w:r>
      <w:r w:rsidRPr="00F951DF">
        <w:rPr>
          <w:rFonts w:ascii="Times New Roman" w:hAnsi="Times New Roman"/>
          <w:sz w:val="24"/>
          <w:szCs w:val="24"/>
          <w:shd w:val="clear" w:color="auto" w:fill="FFFFFF"/>
        </w:rPr>
        <w:t> </w:t>
      </w:r>
      <w:bookmarkEnd w:id="1"/>
      <w:r w:rsidRPr="00F951D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5B2BD734" w14:textId="26EF05D0" w:rsidR="009E0017" w:rsidRDefault="009E0017" w:rsidP="009E00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3ABEC10C" w14:textId="4300C3F3" w:rsidR="009E0017" w:rsidRDefault="009E0017" w:rsidP="009E00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F6A0BE9" w14:textId="77777777" w:rsidR="009E0017" w:rsidRPr="00BF12F0" w:rsidRDefault="009E0017" w:rsidP="009E001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9E0017" w:rsidRPr="006460A5" w14:paraId="3ECEED83" w14:textId="77777777" w:rsidTr="00867F1E">
        <w:trPr>
          <w:trHeight w:val="354"/>
        </w:trPr>
        <w:tc>
          <w:tcPr>
            <w:tcW w:w="3664" w:type="dxa"/>
          </w:tcPr>
          <w:p w14:paraId="6672EEB6" w14:textId="77777777" w:rsidR="009E0017" w:rsidRPr="006460A5" w:rsidRDefault="009E0017" w:rsidP="00867F1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623CA876" w14:textId="77777777" w:rsidR="009E0017" w:rsidRPr="006460A5" w:rsidRDefault="009E0017" w:rsidP="00867F1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60A5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</w:t>
            </w:r>
            <w:proofErr w:type="spellEnd"/>
            <w:r w:rsidRPr="006460A5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 особа</w:t>
            </w:r>
          </w:p>
          <w:p w14:paraId="4C17A9BB" w14:textId="77777777" w:rsidR="009E0017" w:rsidRPr="006460A5" w:rsidRDefault="009E0017" w:rsidP="00867F1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42D7563B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13F378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0A5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4A701ADC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A5"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14:paraId="49C342B6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2E32352" w14:textId="77777777" w:rsidR="009E0017" w:rsidRPr="006460A5" w:rsidRDefault="009E0017" w:rsidP="00867F1E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</w:t>
            </w:r>
            <w:proofErr w:type="spellEnd"/>
            <w:r w:rsidRPr="00646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ТЕЛЕЛЕКОВ</w:t>
            </w:r>
          </w:p>
        </w:tc>
      </w:tr>
    </w:tbl>
    <w:p w14:paraId="3591779B" w14:textId="77777777" w:rsidR="00C9199C" w:rsidRDefault="00C9199C"/>
    <w:sectPr w:rsidR="00C919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62DF5086"/>
    <w:multiLevelType w:val="hybridMultilevel"/>
    <w:tmpl w:val="F41A2C44"/>
    <w:lvl w:ilvl="0" w:tplc="E4007F6C">
      <w:start w:val="5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40009924">
    <w:abstractNumId w:val="0"/>
  </w:num>
  <w:num w:numId="2" w16cid:durableId="92668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9C"/>
    <w:rsid w:val="008732B7"/>
    <w:rsid w:val="00997C8F"/>
    <w:rsid w:val="009E0017"/>
    <w:rsid w:val="00AE0E2C"/>
    <w:rsid w:val="00BF12F0"/>
    <w:rsid w:val="00C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EFE71"/>
  <w15:chartTrackingRefBased/>
  <w15:docId w15:val="{4A368898-E56D-9F4C-8B12-368855CF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99C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BF12F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Telelekov</dc:creator>
  <cp:keywords/>
  <dc:description/>
  <cp:lastModifiedBy>Dmitriy Telelekov</cp:lastModifiedBy>
  <cp:revision>2</cp:revision>
  <dcterms:created xsi:type="dcterms:W3CDTF">2024-01-08T20:05:00Z</dcterms:created>
  <dcterms:modified xsi:type="dcterms:W3CDTF">2024-01-08T20:05:00Z</dcterms:modified>
</cp:coreProperties>
</file>