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B57803" w:rsidRDefault="00B57803" w:rsidP="00B57803">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rsidR="00B57803" w:rsidRPr="00A56F7C" w:rsidRDefault="00B57803" w:rsidP="00A56F7C">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rPr>
        <w:t>до тендерної документації</w:t>
      </w:r>
    </w:p>
    <w:p w:rsidR="00B57803" w:rsidRPr="009E6CBF"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9E6CBF" w:rsidRPr="009E6CBF" w:rsidRDefault="002C10CF" w:rsidP="00A56F7C">
      <w:pPr>
        <w:pStyle w:val="a5"/>
        <w:jc w:val="center"/>
        <w:rPr>
          <w:b/>
          <w:szCs w:val="24"/>
          <w:lang w:val="uk-UA"/>
        </w:rPr>
      </w:pPr>
      <w:r w:rsidRPr="009E6CBF">
        <w:rPr>
          <w:b/>
          <w:szCs w:val="24"/>
          <w:lang w:val="uk-UA"/>
        </w:rPr>
        <w:t>код ДК 021:2015- 33190000 - 8  Медичне обладнання та вироби медичного призначення (</w:t>
      </w:r>
      <w:r w:rsidRPr="009E6CBF">
        <w:rPr>
          <w:b/>
          <w:szCs w:val="24"/>
          <w:lang w:val="uk-UA" w:eastAsia="en-US"/>
        </w:rPr>
        <w:t xml:space="preserve"> </w:t>
      </w:r>
      <w:r w:rsidR="00AF409F" w:rsidRPr="009E6CBF">
        <w:rPr>
          <w:b/>
          <w:szCs w:val="24"/>
          <w:lang w:val="uk-UA" w:eastAsia="en-US"/>
        </w:rPr>
        <w:t>калоприймачі</w:t>
      </w:r>
      <w:r w:rsidRPr="009E6CBF">
        <w:rPr>
          <w:b/>
          <w:szCs w:val="24"/>
          <w:lang w:val="uk-UA"/>
        </w:rPr>
        <w:t>)</w:t>
      </w:r>
    </w:p>
    <w:p w:rsidR="009E6CBF" w:rsidRPr="009E6CBF" w:rsidRDefault="009E6CBF" w:rsidP="009E6CBF">
      <w:pPr>
        <w:pStyle w:val="a5"/>
        <w:jc w:val="center"/>
        <w:rPr>
          <w:b/>
          <w:szCs w:val="24"/>
          <w:lang w:val="uk-UA"/>
        </w:rPr>
      </w:pPr>
    </w:p>
    <w:p w:rsidR="00B57803" w:rsidRPr="009E6CBF" w:rsidRDefault="00B57803" w:rsidP="00B57803">
      <w:pPr>
        <w:jc w:val="center"/>
        <w:rPr>
          <w:rFonts w:ascii="Times New Roman" w:hAnsi="Times New Roman" w:cs="Times New Roman"/>
          <w:sz w:val="24"/>
          <w:szCs w:val="24"/>
          <w:lang w:val="uk-UA"/>
        </w:rPr>
      </w:pPr>
      <w:r w:rsidRPr="009E6CBF">
        <w:rPr>
          <w:rFonts w:ascii="Times New Roman" w:hAnsi="Times New Roman" w:cs="Times New Roman"/>
          <w:sz w:val="24"/>
          <w:szCs w:val="24"/>
        </w:rPr>
        <w:t>Медико-технічні характеристики</w:t>
      </w:r>
    </w:p>
    <w:tbl>
      <w:tblPr>
        <w:tblpPr w:leftFromText="180" w:rightFromText="180" w:vertAnchor="text" w:tblpX="-595"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4394"/>
        <w:gridCol w:w="5670"/>
        <w:gridCol w:w="1418"/>
        <w:gridCol w:w="1276"/>
      </w:tblGrid>
      <w:tr w:rsidR="009E6CBF" w:rsidRPr="00BB207A" w:rsidTr="009E6CBF">
        <w:tc>
          <w:tcPr>
            <w:tcW w:w="817"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 п/п</w:t>
            </w:r>
          </w:p>
        </w:tc>
        <w:tc>
          <w:tcPr>
            <w:tcW w:w="2268"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Код НК 024:2019</w:t>
            </w:r>
          </w:p>
        </w:tc>
        <w:tc>
          <w:tcPr>
            <w:tcW w:w="4394"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Найменування</w:t>
            </w:r>
          </w:p>
        </w:tc>
        <w:tc>
          <w:tcPr>
            <w:tcW w:w="5670"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Характеристика</w:t>
            </w:r>
          </w:p>
        </w:tc>
        <w:tc>
          <w:tcPr>
            <w:tcW w:w="1418"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val="uk-UA" w:eastAsia="zh-CN"/>
              </w:rPr>
            </w:pPr>
            <w:r w:rsidRPr="009E6CBF">
              <w:rPr>
                <w:rFonts w:ascii="Times New Roman" w:hAnsi="Times New Roman" w:cs="Times New Roman"/>
                <w:b/>
                <w:color w:val="000000"/>
                <w:lang w:eastAsia="zh-CN"/>
              </w:rPr>
              <w:t>Од</w:t>
            </w:r>
            <w:r w:rsidRPr="009E6CBF">
              <w:rPr>
                <w:rFonts w:ascii="Times New Roman" w:hAnsi="Times New Roman" w:cs="Times New Roman"/>
                <w:b/>
                <w:color w:val="000000"/>
                <w:lang w:val="uk-UA" w:eastAsia="zh-CN"/>
              </w:rPr>
              <w:t>иниця</w:t>
            </w:r>
          </w:p>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виміру</w:t>
            </w:r>
          </w:p>
        </w:tc>
        <w:tc>
          <w:tcPr>
            <w:tcW w:w="1276"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b/>
                <w:color w:val="000000"/>
                <w:lang w:eastAsia="zh-CN"/>
              </w:rPr>
              <w:t>Кількість</w:t>
            </w:r>
          </w:p>
        </w:tc>
      </w:tr>
      <w:tr w:rsidR="009E6CBF" w:rsidRPr="00BB207A" w:rsidTr="009E6CBF">
        <w:tc>
          <w:tcPr>
            <w:tcW w:w="817" w:type="dxa"/>
            <w:shd w:val="clear" w:color="auto" w:fill="auto"/>
            <w:vAlign w:val="center"/>
          </w:tcPr>
          <w:p w:rsidR="009E6CBF" w:rsidRPr="009E6CBF" w:rsidRDefault="009E6CBF" w:rsidP="006E0712">
            <w:pPr>
              <w:suppressAutoHyphens/>
              <w:rPr>
                <w:rFonts w:ascii="Times New Roman" w:hAnsi="Times New Roman" w:cs="Times New Roman"/>
                <w:color w:val="000000"/>
                <w:lang w:eastAsia="zh-CN"/>
              </w:rPr>
            </w:pPr>
            <w:r w:rsidRPr="009E6CBF">
              <w:rPr>
                <w:rFonts w:ascii="Times New Roman" w:hAnsi="Times New Roman" w:cs="Times New Roman"/>
                <w:color w:val="000000"/>
                <w:lang w:eastAsia="zh-CN"/>
              </w:rPr>
              <w:t>1</w:t>
            </w:r>
          </w:p>
        </w:tc>
        <w:tc>
          <w:tcPr>
            <w:tcW w:w="2268" w:type="dxa"/>
            <w:shd w:val="clear" w:color="auto" w:fill="auto"/>
            <w:vAlign w:val="center"/>
          </w:tcPr>
          <w:p w:rsidR="009E6CBF" w:rsidRPr="009E6CBF" w:rsidRDefault="009E6CBF" w:rsidP="009E6CBF">
            <w:pPr>
              <w:suppressAutoHyphens/>
              <w:jc w:val="center"/>
              <w:rPr>
                <w:rFonts w:ascii="Times New Roman" w:hAnsi="Times New Roman" w:cs="Times New Roman"/>
                <w:b/>
                <w:color w:val="000000"/>
                <w:lang w:eastAsia="zh-CN"/>
              </w:rPr>
            </w:pPr>
            <w:r w:rsidRPr="009E6CBF">
              <w:rPr>
                <w:rFonts w:ascii="Times New Roman" w:hAnsi="Times New Roman" w:cs="Times New Roman"/>
                <w:color w:val="000000"/>
                <w:lang w:eastAsia="zh-CN"/>
              </w:rPr>
              <w:t>(код НК 024:2019  31075 -Калоприймач для кишкової стоми відкритого типу, однокомпонентний)</w:t>
            </w:r>
          </w:p>
        </w:tc>
        <w:tc>
          <w:tcPr>
            <w:tcW w:w="4394" w:type="dxa"/>
            <w:shd w:val="clear" w:color="auto" w:fill="auto"/>
            <w:vAlign w:val="center"/>
          </w:tcPr>
          <w:p w:rsidR="009E6CBF" w:rsidRPr="009E6CBF" w:rsidRDefault="009E6CBF" w:rsidP="009E6CBF">
            <w:pPr>
              <w:suppressAutoHyphens/>
              <w:jc w:val="center"/>
              <w:rPr>
                <w:rFonts w:ascii="Times New Roman" w:hAnsi="Times New Roman" w:cs="Times New Roman"/>
                <w:color w:val="000000"/>
                <w:lang w:eastAsia="zh-CN"/>
              </w:rPr>
            </w:pPr>
            <w:r w:rsidRPr="009E6CBF">
              <w:rPr>
                <w:rFonts w:ascii="Times New Roman" w:hAnsi="Times New Roman" w:cs="Times New Roman"/>
                <w:bCs/>
                <w:color w:val="000000"/>
                <w:lang w:eastAsia="zh-CN"/>
              </w:rPr>
              <w:t>Калоприймач  Coloplast однокомпонентний Альтерна ФРІ 17500 з фільтром та застібкою-лепучкою, непрозорий (дренюється) № 30</w:t>
            </w:r>
          </w:p>
        </w:tc>
        <w:tc>
          <w:tcPr>
            <w:tcW w:w="5670" w:type="dxa"/>
            <w:shd w:val="clear" w:color="auto" w:fill="auto"/>
          </w:tcPr>
          <w:p w:rsidR="009E6CBF" w:rsidRPr="009E6CBF" w:rsidRDefault="009E6CBF" w:rsidP="009E6CBF">
            <w:pPr>
              <w:suppressAutoHyphens/>
              <w:jc w:val="both"/>
              <w:rPr>
                <w:rFonts w:ascii="Times New Roman" w:hAnsi="Times New Roman" w:cs="Times New Roman"/>
                <w:b/>
                <w:color w:val="000000"/>
                <w:lang w:eastAsia="zh-CN"/>
              </w:rPr>
            </w:pPr>
            <w:r w:rsidRPr="009E6CBF">
              <w:rPr>
                <w:rFonts w:ascii="Times New Roman" w:hAnsi="Times New Roman" w:cs="Times New Roman"/>
                <w:color w:val="000000"/>
                <w:lang w:eastAsia="zh-CN"/>
              </w:rPr>
              <w:t xml:space="preserve">Калоприймач стомічний однокомпонентний відкритий непрозорий. Пластина вкрита двошаровим адгезивом спіралевидної структури. Мішок, виготовлений з багатошарового поліетилену та вкритий нетканим матеріалом з обох боків. Мішок повинен мати індивідуальну застібку на липучках Hide Away  - два бокові "вушка", що загинаються та надійно кріпляться до основи мішка за допомогою липучої стрічки, повинен містити вбудований багатошаровий вугільний фільтр. </w:t>
            </w:r>
            <w:r w:rsidRPr="009E6CBF">
              <w:rPr>
                <w:rFonts w:ascii="Times New Roman" w:hAnsi="Times New Roman" w:cs="Times New Roman"/>
                <w:color w:val="000000"/>
                <w:lang w:eastAsia="zh-CN"/>
              </w:rPr>
              <w:br/>
              <w:t>Отвір для вирізання:</w:t>
            </w:r>
            <w:r w:rsidRPr="009E6CBF">
              <w:rPr>
                <w:rFonts w:ascii="Times New Roman" w:hAnsi="Times New Roman" w:cs="Times New Roman"/>
                <w:color w:val="000000"/>
                <w:lang w:eastAsia="zh-CN"/>
              </w:rPr>
              <w:br/>
              <w:t>Внутрішній – 12мм;</w:t>
            </w:r>
            <w:r w:rsidRPr="009E6CBF">
              <w:rPr>
                <w:rFonts w:ascii="Times New Roman" w:hAnsi="Times New Roman" w:cs="Times New Roman"/>
                <w:color w:val="000000"/>
                <w:lang w:eastAsia="zh-CN"/>
              </w:rPr>
              <w:br/>
              <w:t>Зовнішній –75мм - з можливістю вирізати до необхідного.</w:t>
            </w:r>
          </w:p>
        </w:tc>
        <w:tc>
          <w:tcPr>
            <w:tcW w:w="1418" w:type="dxa"/>
            <w:shd w:val="clear" w:color="auto" w:fill="auto"/>
            <w:vAlign w:val="center"/>
          </w:tcPr>
          <w:p w:rsidR="009E6CBF" w:rsidRPr="009E6CBF" w:rsidRDefault="009E6CBF" w:rsidP="009E6CBF">
            <w:pPr>
              <w:suppressAutoHyphens/>
              <w:jc w:val="center"/>
              <w:rPr>
                <w:rFonts w:ascii="Times New Roman" w:hAnsi="Times New Roman" w:cs="Times New Roman"/>
                <w:color w:val="000000"/>
                <w:lang w:val="uk-UA" w:eastAsia="zh-CN"/>
              </w:rPr>
            </w:pPr>
            <w:r w:rsidRPr="009E6CBF">
              <w:rPr>
                <w:rFonts w:ascii="Times New Roman" w:hAnsi="Times New Roman" w:cs="Times New Roman"/>
                <w:color w:val="000000"/>
                <w:lang w:eastAsia="zh-CN"/>
              </w:rPr>
              <w:t>уп</w:t>
            </w:r>
            <w:r w:rsidRPr="009E6CBF">
              <w:rPr>
                <w:rFonts w:ascii="Times New Roman" w:hAnsi="Times New Roman" w:cs="Times New Roman"/>
                <w:color w:val="000000"/>
                <w:lang w:val="uk-UA" w:eastAsia="zh-CN"/>
              </w:rPr>
              <w:t>аковка</w:t>
            </w:r>
          </w:p>
        </w:tc>
        <w:tc>
          <w:tcPr>
            <w:tcW w:w="1276" w:type="dxa"/>
            <w:shd w:val="clear" w:color="auto" w:fill="auto"/>
            <w:vAlign w:val="center"/>
          </w:tcPr>
          <w:p w:rsidR="009E6CBF" w:rsidRPr="003F4EE5" w:rsidRDefault="003F4EE5" w:rsidP="009E6CBF">
            <w:pPr>
              <w:suppressAutoHyphens/>
              <w:jc w:val="center"/>
              <w:rPr>
                <w:rFonts w:ascii="Times New Roman" w:hAnsi="Times New Roman" w:cs="Times New Roman"/>
                <w:color w:val="000000"/>
                <w:lang w:val="uk-UA" w:eastAsia="zh-CN"/>
              </w:rPr>
            </w:pPr>
            <w:r>
              <w:rPr>
                <w:rFonts w:ascii="Times New Roman" w:hAnsi="Times New Roman" w:cs="Times New Roman"/>
                <w:color w:val="000000"/>
                <w:lang w:val="uk-UA" w:eastAsia="zh-CN"/>
              </w:rPr>
              <w:t>72</w:t>
            </w:r>
          </w:p>
        </w:tc>
      </w:tr>
    </w:tbl>
    <w:p w:rsidR="00B57803" w:rsidRDefault="00B57803" w:rsidP="009E6CBF">
      <w:pPr>
        <w:shd w:val="clear" w:color="auto" w:fill="FFFFFF"/>
        <w:spacing w:after="0" w:line="240" w:lineRule="auto"/>
        <w:jc w:val="both"/>
        <w:rPr>
          <w:rFonts w:ascii="Times New Roman" w:eastAsia="Times New Roman" w:hAnsi="Times New Roman"/>
          <w:sz w:val="20"/>
          <w:lang w:val="uk-UA" w:eastAsia="uk-UA"/>
        </w:rPr>
      </w:pPr>
    </w:p>
    <w:p w:rsidR="009E6CBF" w:rsidRPr="009E6CBF" w:rsidRDefault="009E6CBF" w:rsidP="009E6CBF">
      <w:pPr>
        <w:shd w:val="clear" w:color="auto" w:fill="FFFFFF"/>
        <w:spacing w:after="0" w:line="240" w:lineRule="auto"/>
        <w:jc w:val="both"/>
        <w:rPr>
          <w:rFonts w:ascii="Times New Roman" w:eastAsia="Times New Roman" w:hAnsi="Times New Roman" w:cs="Times New Roman"/>
          <w:i/>
          <w:color w:val="FF0000"/>
          <w:sz w:val="24"/>
          <w:szCs w:val="24"/>
          <w:lang w:val="uk-UA"/>
        </w:rPr>
      </w:pPr>
    </w:p>
    <w:p w:rsidR="00B57803" w:rsidRDefault="00B57803" w:rsidP="00BF30C1">
      <w:pPr>
        <w:shd w:val="clear" w:color="auto" w:fill="FFFFFF"/>
        <w:spacing w:after="0" w:line="240" w:lineRule="auto"/>
        <w:ind w:firstLine="460"/>
        <w:jc w:val="both"/>
        <w:rPr>
          <w:rFonts w:ascii="Times New Roman" w:eastAsia="Times New Roman" w:hAnsi="Times New Roman" w:cs="Times New Roman"/>
          <w:i/>
          <w:sz w:val="24"/>
          <w:szCs w:val="24"/>
          <w:lang w:val="uk-UA"/>
        </w:rPr>
      </w:pPr>
      <w:r w:rsidRPr="00687CA2">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56F7C" w:rsidRPr="00A56F7C" w:rsidRDefault="00A56F7C" w:rsidP="00BF30C1">
      <w:pPr>
        <w:shd w:val="clear" w:color="auto" w:fill="FFFFFF"/>
        <w:spacing w:after="0" w:line="240" w:lineRule="auto"/>
        <w:ind w:firstLine="460"/>
        <w:jc w:val="both"/>
        <w:rPr>
          <w:rFonts w:ascii="Times New Roman" w:eastAsia="Times New Roman" w:hAnsi="Times New Roman" w:cs="Times New Roman"/>
          <w:sz w:val="24"/>
          <w:szCs w:val="24"/>
          <w:lang w:val="uk-UA"/>
        </w:rPr>
      </w:pPr>
    </w:p>
    <w:p w:rsidR="00B57803" w:rsidRDefault="00B57803" w:rsidP="00B57803">
      <w:pPr>
        <w:jc w:val="center"/>
        <w:rPr>
          <w:rFonts w:ascii="Times New Roman" w:hAnsi="Times New Roman"/>
          <w:b/>
          <w:sz w:val="24"/>
          <w:szCs w:val="24"/>
          <w:lang w:val="uk-UA"/>
        </w:rPr>
      </w:pPr>
      <w:r w:rsidRPr="00BA13BB">
        <w:rPr>
          <w:rFonts w:ascii="Times New Roman" w:hAnsi="Times New Roman"/>
          <w:b/>
          <w:sz w:val="24"/>
          <w:szCs w:val="24"/>
        </w:rPr>
        <w:t>Загальні медико-технічні вимоги до предмету закупівлі:</w:t>
      </w:r>
    </w:p>
    <w:p w:rsidR="00A56F7C" w:rsidRPr="00DD756C" w:rsidRDefault="00A56F7C" w:rsidP="00A56F7C">
      <w:pPr>
        <w:pStyle w:val="ab"/>
        <w:shd w:val="clear" w:color="auto" w:fill="FFFFFF"/>
        <w:spacing w:before="0" w:beforeAutospacing="0" w:after="0"/>
        <w:ind w:firstLine="709"/>
        <w:jc w:val="both"/>
      </w:pPr>
      <w:r>
        <w:lastRenderedPageBreak/>
        <w:t>1.</w:t>
      </w:r>
      <w:r>
        <w:tab/>
      </w:r>
      <w:r w:rsidRPr="00DD756C">
        <w:t>Товар має бути зареєстрований та сертифікований в Україні, 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висновком санітарно-гігієнічної експертизи тощо. Для підтвердження учасник надає копії відповідних документів.</w:t>
      </w:r>
    </w:p>
    <w:p w:rsidR="00A56F7C" w:rsidRPr="00DD756C" w:rsidRDefault="00A56F7C" w:rsidP="00A56F7C">
      <w:pPr>
        <w:pStyle w:val="ab"/>
        <w:shd w:val="clear" w:color="auto" w:fill="FFFFFF"/>
        <w:spacing w:before="0" w:beforeAutospacing="0" w:after="0"/>
        <w:ind w:firstLine="709"/>
        <w:jc w:val="both"/>
      </w:pPr>
      <w:r w:rsidRPr="00DD756C">
        <w:t>2.</w:t>
      </w:r>
      <w:r w:rsidRPr="00DD756C">
        <w:tab/>
        <w:t>Упаковка не повинна бути пошкоджена, розкрита, не укомплектована чи недоукомплектована. Маркування на зовнішній упаковці товару повинно включати в себе назву та інформацію про термін придатності, номер партії, виробника.</w:t>
      </w:r>
    </w:p>
    <w:p w:rsidR="00A56F7C" w:rsidRPr="00DD756C" w:rsidRDefault="00A56F7C" w:rsidP="00A56F7C">
      <w:pPr>
        <w:pStyle w:val="ab"/>
        <w:shd w:val="clear" w:color="auto" w:fill="FFFFFF"/>
        <w:spacing w:before="0" w:beforeAutospacing="0" w:after="0"/>
        <w:ind w:firstLine="709"/>
        <w:jc w:val="both"/>
      </w:pPr>
      <w:r w:rsidRPr="00DD756C">
        <w:t>3.</w:t>
      </w:r>
      <w:r w:rsidRPr="00DD756C">
        <w:tab/>
        <w:t>Термін придатності предмету закупівлі на момент поставки має становити не менше, ніж 80% від загального терміну придатності визначеного виробником. Для підтвердження учасник надає гарантійний лист про термін придатності товару.</w:t>
      </w:r>
    </w:p>
    <w:p w:rsidR="00A56F7C" w:rsidRPr="00DD756C" w:rsidRDefault="00A56F7C" w:rsidP="00A56F7C">
      <w:pPr>
        <w:pStyle w:val="ab"/>
        <w:shd w:val="clear" w:color="auto" w:fill="FFFFFF"/>
        <w:spacing w:before="0" w:beforeAutospacing="0" w:after="0"/>
        <w:ind w:firstLine="709"/>
        <w:jc w:val="both"/>
      </w:pPr>
      <w:r w:rsidRPr="00DD756C">
        <w:t>4.</w:t>
      </w:r>
      <w:r w:rsidRPr="00DD756C">
        <w:tab/>
        <w:t>Товар поставляється за рахунок і транспортом Постачальника в кількості згідно заявок на адресу Замовника. Для підтвердження учасник надає гарантійний лист про термін поставки товару у кількості та в терміни, визначені документацією закупівлі.</w:t>
      </w:r>
    </w:p>
    <w:p w:rsidR="00A56F7C" w:rsidRPr="00DD756C" w:rsidRDefault="00A56F7C" w:rsidP="00A56F7C">
      <w:pPr>
        <w:pStyle w:val="ab"/>
        <w:shd w:val="clear" w:color="auto" w:fill="FFFFFF"/>
        <w:spacing w:before="0" w:beforeAutospacing="0" w:after="0"/>
        <w:ind w:firstLine="709"/>
        <w:jc w:val="both"/>
      </w:pPr>
      <w:r w:rsidRPr="00DD756C">
        <w:t>5.</w:t>
      </w:r>
      <w:r w:rsidRPr="00DD756C">
        <w:tab/>
        <w:t>Згідно статті 23 Закону України «Про реабілітацію осіб з інвалідністю в Україні» особа з інвалідністю (законний представник недієздатної особи з інвалідністю, дитини з інвалідністю) бере участь у виборі конкретних технічних та інших засобів реабілітації, виробів медичного призначення, реабілітаційних послуг і санаторно-курортного лікування тощо в межах її індивідуальної програми реабілітації у порядку, визначеному Кабінетом Міністрів України. Тому технічні вимоги до товару враховують побажання та вибір пацієнтів</w:t>
      </w:r>
    </w:p>
    <w:p w:rsidR="00A56F7C" w:rsidRPr="00DD756C" w:rsidRDefault="00A56F7C" w:rsidP="00A56F7C">
      <w:pPr>
        <w:pStyle w:val="ab"/>
        <w:shd w:val="clear" w:color="auto" w:fill="FFFFFF"/>
        <w:spacing w:before="0" w:beforeAutospacing="0" w:after="0"/>
        <w:ind w:firstLine="709"/>
        <w:jc w:val="both"/>
      </w:pPr>
      <w:r w:rsidRPr="00DD756C">
        <w:t>– осіб з інвалідністю. Крім цього, на підставі п.2 «Порядку забезпечення осіб з інвалідністю, дітей з інвалідністю, інших окремих категорій населення медичними виробами та іншими засобами», затвердженого постановою КМУ від 03.12.2009р. №1301, особи з інвалідністю, діти з інвалідністю та визначені категорії осіб забезпечуються безоплатно медичними виробами з урахуванням їх індивідуальних потреб.</w:t>
      </w:r>
    </w:p>
    <w:p w:rsidR="00A56F7C" w:rsidRPr="00DD756C" w:rsidRDefault="00A56F7C" w:rsidP="00A56F7C">
      <w:pPr>
        <w:pStyle w:val="ab"/>
        <w:shd w:val="clear" w:color="auto" w:fill="FFFFFF"/>
        <w:spacing w:before="0" w:beforeAutospacing="0" w:after="0"/>
        <w:ind w:firstLine="709"/>
        <w:jc w:val="both"/>
      </w:pPr>
      <w:r w:rsidRPr="00DD756C">
        <w:t>6.</w:t>
      </w:r>
      <w:r w:rsidRPr="00DD756C">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A56F7C" w:rsidRPr="00DD756C" w:rsidRDefault="00A56F7C" w:rsidP="00A56F7C">
      <w:pPr>
        <w:pStyle w:val="ab"/>
        <w:shd w:val="clear" w:color="auto" w:fill="FFFFFF"/>
        <w:spacing w:before="0" w:beforeAutospacing="0" w:after="0"/>
        <w:ind w:firstLine="709"/>
        <w:jc w:val="both"/>
      </w:pPr>
      <w:r w:rsidRPr="00DD756C">
        <w:t>7.</w:t>
      </w:r>
      <w:r w:rsidRPr="00DD756C">
        <w:tab/>
        <w:t>Для підтвердження можливості поставки товару належної якості, який є предметом даної закупівлі, у кількості, зі строками придатності та в терміни, визначені документацією, учасники повинні надати гарантійний лист виробника (представництва, філії виробника – якщо їх відповідні повноваження поширюються на територію України), котрий повинен містити в собі номер оголошення про проведення спрощеної закупівлі, назву замовника та назву предмета даної закупівлі.</w:t>
      </w:r>
    </w:p>
    <w:p w:rsidR="00B57803" w:rsidRPr="00BA13BB" w:rsidRDefault="00B57803" w:rsidP="00B57803">
      <w:pPr>
        <w:jc w:val="both"/>
        <w:rPr>
          <w:rFonts w:ascii="Times New Roman" w:hAnsi="Times New Roman"/>
          <w:i/>
          <w:sz w:val="24"/>
          <w:szCs w:val="24"/>
        </w:rPr>
      </w:pPr>
      <w:r w:rsidRPr="00BA13BB">
        <w:rPr>
          <w:rFonts w:ascii="Times New Roman" w:hAnsi="Times New Roman"/>
          <w:i/>
          <w:sz w:val="24"/>
          <w:szCs w:val="24"/>
        </w:rPr>
        <w:t>*Таблиця</w:t>
      </w:r>
      <w:r w:rsidR="002C10CF">
        <w:rPr>
          <w:rFonts w:ascii="Times New Roman" w:hAnsi="Times New Roman"/>
          <w:i/>
          <w:sz w:val="24"/>
          <w:szCs w:val="24"/>
          <w:lang w:val="uk-UA"/>
        </w:rPr>
        <w:t xml:space="preserve"> </w:t>
      </w:r>
      <w:r w:rsidRPr="00BA13BB">
        <w:rPr>
          <w:rFonts w:ascii="Times New Roman" w:hAnsi="Times New Roman"/>
          <w:i/>
          <w:sz w:val="24"/>
          <w:szCs w:val="24"/>
        </w:rPr>
        <w:t>еквівалентності</w:t>
      </w:r>
    </w:p>
    <w:tbl>
      <w:tblPr>
        <w:tblpPr w:leftFromText="180" w:rightFromText="180" w:vertAnchor="text" w:horzAnchor="margin" w:tblpY="157"/>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3714"/>
        <w:gridCol w:w="3035"/>
        <w:gridCol w:w="3425"/>
        <w:gridCol w:w="3188"/>
      </w:tblGrid>
      <w:tr w:rsidR="00B57803" w:rsidRPr="00BA13BB" w:rsidTr="000007B8">
        <w:trPr>
          <w:trHeight w:val="295"/>
        </w:trPr>
        <w:tc>
          <w:tcPr>
            <w:tcW w:w="814"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sz w:val="24"/>
                <w:szCs w:val="24"/>
              </w:rPr>
              <w:t>№</w:t>
            </w:r>
          </w:p>
        </w:tc>
        <w:tc>
          <w:tcPr>
            <w:tcW w:w="3714"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Найменування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згідно</w:t>
            </w:r>
            <w:r w:rsidR="00BF30C1">
              <w:rPr>
                <w:rFonts w:ascii="Times New Roman" w:hAnsi="Times New Roman"/>
                <w:b/>
                <w:bCs/>
                <w:sz w:val="24"/>
                <w:szCs w:val="24"/>
                <w:lang w:val="uk-UA"/>
              </w:rPr>
              <w:t xml:space="preserve"> </w:t>
            </w:r>
            <w:r w:rsidRPr="00BA13BB">
              <w:rPr>
                <w:rFonts w:ascii="Times New Roman" w:hAnsi="Times New Roman"/>
                <w:b/>
                <w:bCs/>
                <w:sz w:val="24"/>
                <w:szCs w:val="24"/>
              </w:rPr>
              <w:t>вимог</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Замовника</w:t>
            </w:r>
          </w:p>
        </w:tc>
        <w:tc>
          <w:tcPr>
            <w:tcW w:w="3035" w:type="dxa"/>
          </w:tcPr>
          <w:p w:rsidR="00B57803" w:rsidRPr="00BA13BB" w:rsidRDefault="00B57803" w:rsidP="00B57803">
            <w:pPr>
              <w:jc w:val="both"/>
              <w:rPr>
                <w:rFonts w:ascii="Times New Roman" w:hAnsi="Times New Roman"/>
                <w:b/>
                <w:bCs/>
                <w:sz w:val="24"/>
                <w:szCs w:val="24"/>
              </w:rPr>
            </w:pPr>
            <w:r w:rsidRPr="00BA13BB">
              <w:rPr>
                <w:rFonts w:ascii="Times New Roman" w:hAnsi="Times New Roman"/>
                <w:b/>
                <w:bCs/>
                <w:sz w:val="24"/>
                <w:szCs w:val="24"/>
              </w:rPr>
              <w:t>Опис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згідно</w:t>
            </w:r>
            <w:r w:rsidR="00BF30C1">
              <w:rPr>
                <w:rFonts w:ascii="Times New Roman" w:hAnsi="Times New Roman"/>
                <w:b/>
                <w:bCs/>
                <w:sz w:val="24"/>
                <w:szCs w:val="24"/>
                <w:lang w:val="uk-UA"/>
              </w:rPr>
              <w:t xml:space="preserve"> </w:t>
            </w:r>
            <w:r w:rsidRPr="00BA13BB">
              <w:rPr>
                <w:rFonts w:ascii="Times New Roman" w:hAnsi="Times New Roman"/>
                <w:b/>
                <w:bCs/>
                <w:sz w:val="24"/>
                <w:szCs w:val="24"/>
              </w:rPr>
              <w:t>вимог</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Замовника</w:t>
            </w:r>
          </w:p>
        </w:tc>
        <w:tc>
          <w:tcPr>
            <w:tcW w:w="3425" w:type="dxa"/>
            <w:shd w:val="clear" w:color="auto" w:fill="auto"/>
            <w:noWrap/>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Найменування предмету закупівлі</w:t>
            </w:r>
            <w:r w:rsidR="00BF30C1">
              <w:rPr>
                <w:rFonts w:ascii="Times New Roman" w:hAnsi="Times New Roman"/>
                <w:b/>
                <w:bCs/>
                <w:sz w:val="24"/>
                <w:szCs w:val="24"/>
                <w:lang w:val="uk-UA"/>
              </w:rPr>
              <w:t xml:space="preserve"> </w:t>
            </w:r>
            <w:r w:rsidRPr="00BA13BB">
              <w:rPr>
                <w:rFonts w:ascii="Times New Roman" w:hAnsi="Times New Roman"/>
                <w:b/>
                <w:bCs/>
                <w:sz w:val="24"/>
                <w:szCs w:val="24"/>
              </w:rPr>
              <w:t>запропонованого</w:t>
            </w:r>
            <w:r w:rsidR="00BF30C1">
              <w:rPr>
                <w:rFonts w:ascii="Times New Roman" w:hAnsi="Times New Roman"/>
                <w:b/>
                <w:bCs/>
                <w:sz w:val="24"/>
                <w:szCs w:val="24"/>
                <w:lang w:val="uk-UA"/>
              </w:rPr>
              <w:t xml:space="preserve"> </w:t>
            </w:r>
            <w:r w:rsidRPr="00BA13BB">
              <w:rPr>
                <w:rFonts w:ascii="Times New Roman" w:hAnsi="Times New Roman"/>
                <w:b/>
                <w:bCs/>
                <w:sz w:val="24"/>
                <w:szCs w:val="24"/>
              </w:rPr>
              <w:t>учасником</w:t>
            </w:r>
          </w:p>
        </w:tc>
        <w:tc>
          <w:tcPr>
            <w:tcW w:w="3188" w:type="dxa"/>
          </w:tcPr>
          <w:p w:rsidR="00B57803" w:rsidRPr="00BA13BB" w:rsidRDefault="00B57803" w:rsidP="00B57803">
            <w:pPr>
              <w:jc w:val="both"/>
              <w:rPr>
                <w:rFonts w:ascii="Times New Roman" w:hAnsi="Times New Roman"/>
                <w:b/>
                <w:sz w:val="24"/>
                <w:szCs w:val="24"/>
              </w:rPr>
            </w:pPr>
            <w:r w:rsidRPr="00BA13BB">
              <w:rPr>
                <w:rFonts w:ascii="Times New Roman" w:hAnsi="Times New Roman"/>
                <w:b/>
                <w:bCs/>
                <w:sz w:val="24"/>
                <w:szCs w:val="24"/>
              </w:rPr>
              <w:t>Опис предмету закупівлі</w:t>
            </w:r>
          </w:p>
          <w:p w:rsidR="00B57803" w:rsidRPr="00BA13BB" w:rsidRDefault="00BF30C1" w:rsidP="00B57803">
            <w:pPr>
              <w:jc w:val="both"/>
              <w:rPr>
                <w:rFonts w:ascii="Times New Roman" w:hAnsi="Times New Roman"/>
                <w:sz w:val="24"/>
                <w:szCs w:val="24"/>
              </w:rPr>
            </w:pPr>
            <w:r w:rsidRPr="00BA13BB">
              <w:rPr>
                <w:rFonts w:ascii="Times New Roman" w:hAnsi="Times New Roman"/>
                <w:b/>
                <w:bCs/>
                <w:sz w:val="24"/>
                <w:szCs w:val="24"/>
              </w:rPr>
              <w:t>З</w:t>
            </w:r>
            <w:r w:rsidR="00B57803" w:rsidRPr="00BA13BB">
              <w:rPr>
                <w:rFonts w:ascii="Times New Roman" w:hAnsi="Times New Roman"/>
                <w:b/>
                <w:bCs/>
                <w:sz w:val="24"/>
                <w:szCs w:val="24"/>
              </w:rPr>
              <w:t>апропонованого</w:t>
            </w:r>
            <w:r>
              <w:rPr>
                <w:rFonts w:ascii="Times New Roman" w:hAnsi="Times New Roman"/>
                <w:b/>
                <w:bCs/>
                <w:sz w:val="24"/>
                <w:szCs w:val="24"/>
                <w:lang w:val="uk-UA"/>
              </w:rPr>
              <w:t xml:space="preserve"> </w:t>
            </w:r>
            <w:r w:rsidR="00B57803" w:rsidRPr="00BA13BB">
              <w:rPr>
                <w:rFonts w:ascii="Times New Roman" w:hAnsi="Times New Roman"/>
                <w:b/>
                <w:bCs/>
                <w:sz w:val="24"/>
                <w:szCs w:val="24"/>
              </w:rPr>
              <w:t>учасником</w:t>
            </w:r>
          </w:p>
        </w:tc>
      </w:tr>
      <w:tr w:rsidR="00B57803" w:rsidRPr="00BA13BB" w:rsidTr="000007B8">
        <w:trPr>
          <w:trHeight w:val="295"/>
        </w:trPr>
        <w:tc>
          <w:tcPr>
            <w:tcW w:w="814" w:type="dxa"/>
            <w:shd w:val="clear" w:color="auto" w:fill="auto"/>
            <w:noWrap/>
          </w:tcPr>
          <w:p w:rsidR="00B57803" w:rsidRPr="00BA13BB" w:rsidRDefault="00B57803" w:rsidP="00B57803">
            <w:pPr>
              <w:jc w:val="both"/>
              <w:rPr>
                <w:rFonts w:ascii="Times New Roman" w:hAnsi="Times New Roman"/>
                <w:b/>
                <w:sz w:val="24"/>
                <w:szCs w:val="24"/>
              </w:rPr>
            </w:pPr>
          </w:p>
        </w:tc>
        <w:tc>
          <w:tcPr>
            <w:tcW w:w="3714" w:type="dxa"/>
            <w:shd w:val="clear" w:color="auto" w:fill="auto"/>
            <w:noWrap/>
          </w:tcPr>
          <w:p w:rsidR="00B57803" w:rsidRPr="00BA13BB" w:rsidRDefault="00B57803" w:rsidP="00B57803">
            <w:pPr>
              <w:jc w:val="both"/>
              <w:rPr>
                <w:rFonts w:ascii="Times New Roman" w:hAnsi="Times New Roman"/>
                <w:b/>
                <w:bCs/>
                <w:sz w:val="24"/>
                <w:szCs w:val="24"/>
              </w:rPr>
            </w:pPr>
          </w:p>
        </w:tc>
        <w:tc>
          <w:tcPr>
            <w:tcW w:w="3035" w:type="dxa"/>
          </w:tcPr>
          <w:p w:rsidR="00B57803" w:rsidRPr="00BA13BB" w:rsidRDefault="00B57803" w:rsidP="00B57803">
            <w:pPr>
              <w:jc w:val="both"/>
              <w:rPr>
                <w:rFonts w:ascii="Times New Roman" w:hAnsi="Times New Roman"/>
                <w:b/>
                <w:sz w:val="24"/>
                <w:szCs w:val="24"/>
              </w:rPr>
            </w:pPr>
          </w:p>
        </w:tc>
        <w:tc>
          <w:tcPr>
            <w:tcW w:w="3425" w:type="dxa"/>
            <w:shd w:val="clear" w:color="auto" w:fill="auto"/>
            <w:noWrap/>
          </w:tcPr>
          <w:p w:rsidR="00B57803" w:rsidRPr="00BA13BB" w:rsidRDefault="00B57803" w:rsidP="00B57803">
            <w:pPr>
              <w:jc w:val="both"/>
              <w:rPr>
                <w:rFonts w:ascii="Times New Roman" w:hAnsi="Times New Roman"/>
                <w:b/>
                <w:sz w:val="24"/>
                <w:szCs w:val="24"/>
              </w:rPr>
            </w:pPr>
          </w:p>
        </w:tc>
        <w:tc>
          <w:tcPr>
            <w:tcW w:w="3188" w:type="dxa"/>
          </w:tcPr>
          <w:p w:rsidR="00B57803" w:rsidRPr="00BA13BB" w:rsidRDefault="00B57803" w:rsidP="00B57803">
            <w:pPr>
              <w:jc w:val="both"/>
              <w:rPr>
                <w:rFonts w:ascii="Times New Roman" w:hAnsi="Times New Roman"/>
                <w:b/>
                <w:bCs/>
                <w:sz w:val="24"/>
                <w:szCs w:val="24"/>
              </w:rPr>
            </w:pPr>
          </w:p>
        </w:tc>
      </w:tr>
    </w:tbl>
    <w:p w:rsidR="00B57803" w:rsidRDefault="00B57803" w:rsidP="00B57803">
      <w:pPr>
        <w:shd w:val="clear" w:color="auto" w:fill="FFFFFF"/>
        <w:spacing w:after="0" w:line="240" w:lineRule="auto"/>
        <w:ind w:firstLine="460"/>
        <w:jc w:val="both"/>
        <w:rPr>
          <w:rFonts w:ascii="Times New Roman" w:eastAsia="Times New Roman" w:hAnsi="Times New Roman" w:cs="Times New Roman"/>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b/>
          <w:i/>
          <w:sz w:val="24"/>
          <w:szCs w:val="24"/>
        </w:rPr>
      </w:pPr>
    </w:p>
    <w:p w:rsidR="00B57803" w:rsidRDefault="00B57803" w:rsidP="00B57803">
      <w:pPr>
        <w:shd w:val="clear" w:color="auto" w:fill="FFFFFF"/>
        <w:spacing w:after="0" w:line="240" w:lineRule="auto"/>
        <w:ind w:firstLine="460"/>
        <w:jc w:val="both"/>
        <w:rPr>
          <w:rFonts w:ascii="Times New Roman" w:eastAsia="Times New Roman" w:hAnsi="Times New Roman" w:cs="Times New Roman"/>
          <w:b/>
          <w:i/>
          <w:sz w:val="24"/>
          <w:szCs w:val="24"/>
        </w:rPr>
      </w:pPr>
    </w:p>
    <w:p w:rsidR="00531D11" w:rsidRDefault="00531D11"/>
    <w:sectPr w:rsidR="00531D11" w:rsidSect="00B57803">
      <w:headerReference w:type="even" r:id="rId7"/>
      <w:headerReference w:type="default" r:id="rId8"/>
      <w:footerReference w:type="even" r:id="rId9"/>
      <w:footerReference w:type="default" r:id="rId10"/>
      <w:headerReference w:type="first" r:id="rId11"/>
      <w:footerReference w:type="first" r:id="rId1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D2A" w:rsidRDefault="00214D2A" w:rsidP="002C10CF">
      <w:pPr>
        <w:spacing w:after="0" w:line="240" w:lineRule="auto"/>
      </w:pPr>
      <w:r>
        <w:separator/>
      </w:r>
    </w:p>
  </w:endnote>
  <w:endnote w:type="continuationSeparator" w:id="1">
    <w:p w:rsidR="00214D2A" w:rsidRDefault="00214D2A"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2C10CF" w:rsidRDefault="00DB6DFB">
        <w:pPr>
          <w:pStyle w:val="a9"/>
          <w:jc w:val="right"/>
        </w:pPr>
        <w:fldSimple w:instr=" PAGE   \* MERGEFORMAT ">
          <w:r w:rsidR="003F4EE5">
            <w:rPr>
              <w:noProof/>
            </w:rPr>
            <w:t>3</w:t>
          </w:r>
        </w:fldSimple>
      </w:p>
    </w:sdtContent>
  </w:sdt>
  <w:p w:rsidR="002C10CF" w:rsidRDefault="002C10C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D2A" w:rsidRDefault="00214D2A" w:rsidP="002C10CF">
      <w:pPr>
        <w:spacing w:after="0" w:line="240" w:lineRule="auto"/>
      </w:pPr>
      <w:r>
        <w:separator/>
      </w:r>
    </w:p>
  </w:footnote>
  <w:footnote w:type="continuationSeparator" w:id="1">
    <w:p w:rsidR="00214D2A" w:rsidRDefault="00214D2A"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CF" w:rsidRDefault="002C10C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214D2A"/>
    <w:rsid w:val="002C10CF"/>
    <w:rsid w:val="00330B61"/>
    <w:rsid w:val="003F4EE5"/>
    <w:rsid w:val="00531D11"/>
    <w:rsid w:val="008319FA"/>
    <w:rsid w:val="00945348"/>
    <w:rsid w:val="009E6CBF"/>
    <w:rsid w:val="00A56F7C"/>
    <w:rsid w:val="00AE4AF7"/>
    <w:rsid w:val="00AF409F"/>
    <w:rsid w:val="00B57803"/>
    <w:rsid w:val="00BF30C1"/>
    <w:rsid w:val="00DB6DFB"/>
    <w:rsid w:val="00DE6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2022-11-29T15:43:00Z</cp:lastPrinted>
  <dcterms:created xsi:type="dcterms:W3CDTF">2022-11-29T13:12:00Z</dcterms:created>
  <dcterms:modified xsi:type="dcterms:W3CDTF">2023-04-24T12:55:00Z</dcterms:modified>
</cp:coreProperties>
</file>