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Default="001B26DE" w:rsidP="001B26DE">
            <w:pPr>
              <w:pStyle w:val="--14"/>
              <w:snapToGrid w:val="0"/>
              <w:ind w:right="-13"/>
              <w:rPr>
                <w:sz w:val="24"/>
                <w:szCs w:val="24"/>
                <w:highlight w:val="yellow"/>
              </w:rPr>
            </w:pPr>
          </w:p>
          <w:p w:rsidR="007F3605" w:rsidRPr="00E25FD3" w:rsidRDefault="007F3605"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BA3355">
              <w:rPr>
                <w:iCs/>
                <w:sz w:val="24"/>
                <w:szCs w:val="24"/>
                <w:lang w:val="en-US"/>
              </w:rPr>
              <w:t>5</w:t>
            </w:r>
            <w:r w:rsidR="00912DF7">
              <w:rPr>
                <w:iCs/>
                <w:sz w:val="24"/>
                <w:szCs w:val="24"/>
              </w:rPr>
              <w:t>9</w:t>
            </w:r>
            <w:r w:rsidRPr="000071DD">
              <w:rPr>
                <w:iCs/>
                <w:sz w:val="24"/>
                <w:szCs w:val="24"/>
              </w:rPr>
              <w:t xml:space="preserve"> від </w:t>
            </w:r>
            <w:r w:rsidR="00912DF7">
              <w:rPr>
                <w:iCs/>
                <w:sz w:val="24"/>
                <w:szCs w:val="24"/>
              </w:rPr>
              <w:t>25</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7F3605"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7F3605">
        <w:rPr>
          <w:rFonts w:ascii="Times New Roman Regular" w:hAnsi="Times New Roman Regular"/>
          <w:b/>
          <w:bCs/>
          <w:sz w:val="24"/>
          <w:szCs w:val="24"/>
          <w:lang w:val="uk-UA"/>
        </w:rPr>
        <w:t xml:space="preserve">Живильне середовище (Бульйон </w:t>
      </w:r>
      <w:proofErr w:type="spellStart"/>
      <w:r w:rsidRPr="007F3605">
        <w:rPr>
          <w:rFonts w:ascii="Times New Roman Regular" w:hAnsi="Times New Roman Regular"/>
          <w:b/>
          <w:bCs/>
          <w:sz w:val="24"/>
          <w:szCs w:val="24"/>
          <w:lang w:val="uk-UA"/>
        </w:rPr>
        <w:t>Хоттінгера</w:t>
      </w:r>
      <w:proofErr w:type="spellEnd"/>
      <w:r w:rsidRPr="007F3605">
        <w:rPr>
          <w:rFonts w:ascii="Times New Roman Regular" w:hAnsi="Times New Roman Regular"/>
          <w:b/>
          <w:bCs/>
          <w:sz w:val="24"/>
          <w:szCs w:val="24"/>
          <w:lang w:val="uk-UA"/>
        </w:rPr>
        <w:t xml:space="preserve">), за кодом ДК 021-2015: 24930000-2 - </w:t>
      </w:r>
      <w:proofErr w:type="spellStart"/>
      <w:r w:rsidRPr="007F3605">
        <w:rPr>
          <w:rFonts w:ascii="Times New Roman Regular" w:hAnsi="Times New Roman Regular"/>
          <w:b/>
          <w:bCs/>
          <w:sz w:val="24"/>
          <w:szCs w:val="24"/>
          <w:lang w:val="uk-UA"/>
        </w:rPr>
        <w:t>Фотохімікати</w:t>
      </w:r>
      <w:proofErr w:type="spellEnd"/>
      <w:r w:rsidR="00415BFC"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7F3605" w:rsidP="00D15B3A">
            <w:pPr>
              <w:pStyle w:val="rvps2"/>
              <w:shd w:val="clear" w:color="auto" w:fill="FFFFFF"/>
              <w:spacing w:before="0" w:after="0"/>
              <w:jc w:val="center"/>
              <w:textAlignment w:val="baseline"/>
              <w:rPr>
                <w:b/>
                <w:lang w:val="uk-UA"/>
              </w:rPr>
            </w:pPr>
            <w:r w:rsidRPr="007F3605">
              <w:rPr>
                <w:rFonts w:ascii="Times New Roman Regular" w:hAnsi="Times New Roman Regular"/>
                <w:b/>
                <w:bCs/>
                <w:lang w:val="uk-UA"/>
              </w:rPr>
              <w:t xml:space="preserve">Живильне середовище (Бульйон </w:t>
            </w:r>
            <w:proofErr w:type="spellStart"/>
            <w:r w:rsidRPr="007F3605">
              <w:rPr>
                <w:rFonts w:ascii="Times New Roman Regular" w:hAnsi="Times New Roman Regular"/>
                <w:b/>
                <w:bCs/>
                <w:lang w:val="uk-UA"/>
              </w:rPr>
              <w:t>Хоттінгера</w:t>
            </w:r>
            <w:proofErr w:type="spellEnd"/>
            <w:r w:rsidRPr="007F3605">
              <w:rPr>
                <w:rFonts w:ascii="Times New Roman Regular" w:hAnsi="Times New Roman Regular"/>
                <w:b/>
                <w:bCs/>
                <w:lang w:val="uk-UA"/>
              </w:rPr>
              <w:t xml:space="preserve">), за кодом ДК 021-2015: 24930000-2 - </w:t>
            </w:r>
            <w:proofErr w:type="spellStart"/>
            <w:r w:rsidRPr="007F3605">
              <w:rPr>
                <w:rFonts w:ascii="Times New Roman Regular" w:hAnsi="Times New Roman Regular"/>
                <w:b/>
                <w:bCs/>
                <w:lang w:val="uk-UA"/>
              </w:rPr>
              <w:t>Фотохімікати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w:t>
            </w:r>
            <w:r w:rsidR="00912DF7">
              <w:rPr>
                <w:rFonts w:ascii="Times New Roman" w:eastAsia="Times New Roman" w:hAnsi="Times New Roman" w:cs="Times New Roman"/>
                <w:color w:val="000000"/>
                <w:sz w:val="24"/>
                <w:szCs w:val="24"/>
                <w:lang w:val="uk-UA" w:eastAsia="ru-RU"/>
              </w:rPr>
              <w:t>им перекладом на українську мову</w:t>
            </w:r>
            <w:bookmarkStart w:id="0" w:name="_GoBack"/>
            <w:bookmarkEnd w:id="0"/>
            <w:r w:rsidRPr="00A103E5">
              <w:rPr>
                <w:rFonts w:ascii="Times New Roman" w:eastAsia="Times New Roman" w:hAnsi="Times New Roman" w:cs="Times New Roman"/>
                <w:color w:val="000000"/>
                <w:sz w:val="24"/>
                <w:szCs w:val="24"/>
                <w:lang w:val="uk-UA" w:eastAsia="ru-RU"/>
              </w:rPr>
              <w:t xml:space="preserve">).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0</w:t>
            </w:r>
            <w:r w:rsidR="001E69E4">
              <w:rPr>
                <w:rFonts w:ascii="Times New Roman" w:eastAsia="Times New Roman" w:hAnsi="Times New Roman" w:cs="Times New Roman"/>
                <w:b/>
                <w:color w:val="000000"/>
                <w:sz w:val="24"/>
                <w:szCs w:val="24"/>
                <w:lang w:val="uk-UA" w:eastAsia="ru-RU"/>
              </w:rPr>
              <w:t>1.05</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69E6"/>
    <w:rsid w:val="000C538A"/>
    <w:rsid w:val="001B26DE"/>
    <w:rsid w:val="001E69E4"/>
    <w:rsid w:val="00415BFC"/>
    <w:rsid w:val="004A3798"/>
    <w:rsid w:val="0056459E"/>
    <w:rsid w:val="006F1F6F"/>
    <w:rsid w:val="007F3605"/>
    <w:rsid w:val="008F4506"/>
    <w:rsid w:val="00912DF7"/>
    <w:rsid w:val="00A75263"/>
    <w:rsid w:val="00BA3355"/>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28</Pages>
  <Words>38723</Words>
  <Characters>22073</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13</cp:revision>
  <dcterms:created xsi:type="dcterms:W3CDTF">2024-02-16T12:14:00Z</dcterms:created>
  <dcterms:modified xsi:type="dcterms:W3CDTF">2024-04-25T07:42:00Z</dcterms:modified>
</cp:coreProperties>
</file>