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607592"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F04ADE">
        <w:rPr>
          <w:rFonts w:ascii="Times New Roman" w:eastAsia="Times New Roman" w:hAnsi="Times New Roman" w:cs="Times New Roman"/>
          <w:noProof/>
          <w:sz w:val="28"/>
          <w:szCs w:val="24"/>
          <w:lang w:eastAsia="ru-RU"/>
        </w:rPr>
        <w:t xml:space="preserve">протокол № </w:t>
      </w:r>
      <w:r w:rsidR="00F662FA" w:rsidRPr="00F04ADE">
        <w:rPr>
          <w:rFonts w:ascii="Times New Roman" w:eastAsia="Times New Roman" w:hAnsi="Times New Roman" w:cs="Times New Roman"/>
          <w:noProof/>
          <w:sz w:val="28"/>
          <w:szCs w:val="24"/>
          <w:lang w:eastAsia="ru-RU"/>
        </w:rPr>
        <w:t>8</w:t>
      </w:r>
      <w:r w:rsidRPr="00F04ADE">
        <w:rPr>
          <w:rFonts w:ascii="Times New Roman" w:eastAsia="Times New Roman" w:hAnsi="Times New Roman" w:cs="Times New Roman"/>
          <w:noProof/>
          <w:sz w:val="28"/>
          <w:szCs w:val="24"/>
          <w:lang w:eastAsia="ru-RU"/>
        </w:rPr>
        <w:t xml:space="preserve"> від </w:t>
      </w:r>
      <w:r w:rsidR="00402F67" w:rsidRPr="00F04ADE">
        <w:rPr>
          <w:rFonts w:ascii="Times New Roman" w:eastAsia="Times New Roman" w:hAnsi="Times New Roman" w:cs="Times New Roman"/>
          <w:noProof/>
          <w:sz w:val="28"/>
          <w:szCs w:val="24"/>
          <w:lang w:eastAsia="ru-RU"/>
        </w:rPr>
        <w:t>14</w:t>
      </w:r>
      <w:r w:rsidRPr="00F04ADE">
        <w:rPr>
          <w:rFonts w:ascii="Times New Roman" w:eastAsia="Times New Roman" w:hAnsi="Times New Roman" w:cs="Times New Roman"/>
          <w:noProof/>
          <w:sz w:val="28"/>
          <w:szCs w:val="24"/>
          <w:lang w:eastAsia="ru-RU"/>
        </w:rPr>
        <w:t>.0</w:t>
      </w:r>
      <w:r w:rsidR="00402F67" w:rsidRPr="00F04ADE">
        <w:rPr>
          <w:rFonts w:ascii="Times New Roman" w:eastAsia="Times New Roman" w:hAnsi="Times New Roman" w:cs="Times New Roman"/>
          <w:noProof/>
          <w:sz w:val="28"/>
          <w:szCs w:val="24"/>
          <w:lang w:eastAsia="ru-RU"/>
        </w:rPr>
        <w:t>3</w:t>
      </w:r>
      <w:r w:rsidRPr="00F04ADE">
        <w:rPr>
          <w:rFonts w:ascii="Times New Roman" w:eastAsia="Times New Roman" w:hAnsi="Times New Roman" w:cs="Times New Roman"/>
          <w:noProof/>
          <w:sz w:val="28"/>
          <w:szCs w:val="24"/>
          <w:lang w:eastAsia="ru-RU"/>
        </w:rPr>
        <w:t>.202</w:t>
      </w:r>
      <w:r w:rsidR="00402F67" w:rsidRPr="00F04ADE">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2C1B49" w:rsidRPr="002C1B49" w:rsidRDefault="002C1B49" w:rsidP="002C1B49">
      <w:pPr>
        <w:tabs>
          <w:tab w:val="left" w:pos="426"/>
        </w:tabs>
        <w:jc w:val="center"/>
        <w:rPr>
          <w:rFonts w:ascii="Times New Roman" w:hAnsi="Times New Roman" w:cs="Times New Roman"/>
          <w:b/>
          <w:bCs/>
          <w:color w:val="000000"/>
          <w:sz w:val="28"/>
          <w:szCs w:val="28"/>
        </w:rPr>
      </w:pPr>
      <w:r w:rsidRPr="002C1B49">
        <w:rPr>
          <w:rFonts w:ascii="Times New Roman" w:hAnsi="Times New Roman" w:cs="Times New Roman"/>
          <w:b/>
          <w:bCs/>
          <w:color w:val="000000"/>
          <w:sz w:val="28"/>
          <w:szCs w:val="28"/>
        </w:rPr>
        <w:t>Фруктові та овочеві соки  (сік томатний та  сік фруктовий в асортименті  - в тетрапаках, об’єм 1</w:t>
      </w:r>
      <w:r>
        <w:rPr>
          <w:rFonts w:ascii="Times New Roman" w:hAnsi="Times New Roman" w:cs="Times New Roman"/>
          <w:b/>
          <w:bCs/>
          <w:color w:val="000000"/>
          <w:sz w:val="28"/>
          <w:szCs w:val="28"/>
        </w:rPr>
        <w:t xml:space="preserve"> </w:t>
      </w:r>
      <w:r w:rsidRPr="002C1B49">
        <w:rPr>
          <w:rFonts w:ascii="Times New Roman" w:hAnsi="Times New Roman" w:cs="Times New Roman"/>
          <w:b/>
          <w:bCs/>
          <w:color w:val="000000"/>
          <w:sz w:val="28"/>
          <w:szCs w:val="28"/>
        </w:rPr>
        <w:t>л., 100% натуральний сік; сік фруктовий в асортименті - в тетрапаках, об’єм 0,2 л., з трубочкою, 100% натуральний сік)</w:t>
      </w:r>
      <w:r>
        <w:rPr>
          <w:rFonts w:ascii="Times New Roman" w:hAnsi="Times New Roman" w:cs="Times New Roman"/>
          <w:b/>
          <w:bCs/>
          <w:color w:val="000000"/>
          <w:sz w:val="28"/>
          <w:szCs w:val="28"/>
        </w:rPr>
        <w:t xml:space="preserve">, </w:t>
      </w:r>
      <w:r w:rsidRPr="002C1B49">
        <w:rPr>
          <w:rFonts w:ascii="Times New Roman" w:hAnsi="Times New Roman" w:cs="Times New Roman"/>
          <w:b/>
          <w:bCs/>
          <w:color w:val="000000"/>
          <w:sz w:val="28"/>
          <w:szCs w:val="28"/>
        </w:rPr>
        <w:t>ДК 021:2015 – 15320000-7 – Фруктові та овочеві соки</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lastRenderedPageBreak/>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455987">
              <w:rPr>
                <w:rFonts w:ascii="Times New Roman" w:eastAsia="Times New Roman" w:hAnsi="Times New Roman" w:cs="Times New Roman"/>
                <w:color w:val="000000"/>
                <w:sz w:val="24"/>
                <w:szCs w:val="24"/>
              </w:rPr>
              <w:t> </w:t>
            </w:r>
            <w:bookmarkStart w:id="0" w:name="_heading=h.1fob9te" w:colFirst="0" w:colLast="0"/>
            <w:bookmarkEnd w:id="0"/>
            <w:r w:rsidRPr="00A40943">
              <w:rPr>
                <w:rFonts w:ascii="Times New Roman" w:eastAsia="Times New Roman" w:hAnsi="Times New Roman" w:cs="Times New Roman"/>
                <w:sz w:val="24"/>
                <w:szCs w:val="24"/>
              </w:rPr>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7525C5" w:rsidRPr="00A40943" w:rsidRDefault="007525C5" w:rsidP="00A40943">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84570, Україна, Донецька область, Весела Долина, вул. Зелена, 7</w:t>
            </w:r>
          </w:p>
          <w:p w:rsidR="007525C5" w:rsidRPr="00A40943" w:rsidRDefault="007525C5" w:rsidP="00FB7210">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36372, Україна,</w:t>
            </w:r>
            <w:r w:rsidR="001F5324">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 xml:space="preserve">Кубрак Світлана Вікторівна, уповноважена особа  КУ «Бахмутський психоневрологічний інтернат», тел.: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 xml:space="preserve">-mail: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2C1B49" w:rsidRDefault="002C1B49" w:rsidP="002C1B49">
            <w:pPr>
              <w:tabs>
                <w:tab w:val="left" w:pos="426"/>
              </w:tabs>
              <w:jc w:val="both"/>
              <w:rPr>
                <w:rFonts w:ascii="Times New Roman" w:eastAsia="Times New Roman" w:hAnsi="Times New Roman" w:cs="Times New Roman"/>
                <w:sz w:val="24"/>
                <w:szCs w:val="24"/>
              </w:rPr>
            </w:pPr>
            <w:r w:rsidRPr="002C1B49">
              <w:rPr>
                <w:rFonts w:ascii="Times New Roman" w:hAnsi="Times New Roman" w:cs="Times New Roman"/>
                <w:color w:val="000000"/>
                <w:sz w:val="24"/>
                <w:szCs w:val="24"/>
              </w:rPr>
              <w:t>Фруктові та овочеві соки  (сік томатний та  сік фруктовий в асортименті  - в тетрапаках, об’єм 1 л., 100% натуральний сік; сік фруктовий в асортименті - в тетрапаках, об’єм 0,2 л., з трубочкою, 100% натуральний сік), ДК 021:2015 – 15320000-7 – Фруктові та овочеві соки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Валюта, у якій повинна бути зазначена ціна </w:t>
            </w:r>
            <w:r w:rsidRPr="00A40943">
              <w:rPr>
                <w:rFonts w:ascii="Times New Roman" w:eastAsia="Times New Roman" w:hAnsi="Times New Roman" w:cs="Times New Roman"/>
                <w:b/>
                <w:color w:val="000000"/>
                <w:sz w:val="24"/>
                <w:szCs w:val="24"/>
              </w:rPr>
              <w:lastRenderedPageBreak/>
              <w:t>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У разі якщо учасником 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часник зазначає ціну </w:t>
            </w:r>
            <w:r w:rsidRPr="00A40943">
              <w:rPr>
                <w:rFonts w:ascii="Times New Roman" w:eastAsia="Times New Roman" w:hAnsi="Times New Roman" w:cs="Times New Roman"/>
                <w:color w:val="000000"/>
                <w:sz w:val="24"/>
                <w:szCs w:val="24"/>
              </w:rPr>
              <w:lastRenderedPageBreak/>
              <w:t>пропозиції в електронній системі закупівель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(знак</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A40943">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lastRenderedPageBreak/>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кт договору про закупівлю» (підписаний та завірений печаткою учасника, як підтвердження згоди учасника із умовами 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використання слова або мовного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нумерації сторінок/аркушів (у тому числі кілька </w:t>
            </w:r>
            <w:r w:rsidRPr="00A40943">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sidRPr="00A40943">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«м.київ» замість «м.Київ»;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-ок» замість «поря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«ненадається»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ім’я та 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402F67" w:rsidRPr="00A40943" w:rsidRDefault="00402F67" w:rsidP="00402F67">
            <w:pPr>
              <w:spacing w:after="0" w:line="23" w:lineRule="atLeast"/>
              <w:jc w:val="both"/>
              <w:rPr>
                <w:rFonts w:ascii="Times New Roman" w:hAnsi="Times New Roman" w:cs="Times New Roman"/>
                <w:b/>
                <w:sz w:val="24"/>
                <w:szCs w:val="24"/>
              </w:rPr>
            </w:pPr>
            <w:r w:rsidRPr="008F42AB">
              <w:rPr>
                <w:rFonts w:ascii="Times New Roman" w:hAnsi="Times New Roman" w:cs="Times New Roman"/>
                <w:sz w:val="24"/>
                <w:szCs w:val="24"/>
              </w:rPr>
              <w:t xml:space="preserve">Розмір забезпечення тендерної пропозицій </w:t>
            </w:r>
            <w:r w:rsidRPr="008F42AB">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r w:rsidR="008F42AB">
              <w:rPr>
                <w:rFonts w:ascii="Times New Roman" w:hAnsi="Times New Roman" w:cs="Times New Roman"/>
                <w:b/>
                <w:sz w:val="24"/>
                <w:szCs w:val="24"/>
              </w:rPr>
              <w:t>6 834,00 (шість тисяч вісімсот тридцять чотири гривні 00 копійок).</w:t>
            </w:r>
            <w:r w:rsidRPr="00A40943">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 xml:space="preserve">Банківська гарантія повинна бути оформлена з грошовим покриттям. На підтвердження наявності грошового покриття </w:t>
            </w:r>
            <w:r w:rsidRPr="00A40943">
              <w:rPr>
                <w:rFonts w:ascii="Times New Roman" w:hAnsi="Times New Roman"/>
                <w:sz w:val="24"/>
                <w:szCs w:val="24"/>
              </w:rPr>
              <w:lastRenderedPageBreak/>
              <w:t>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402F67">
            <w:pPr>
              <w:suppressAutoHyphens/>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Учасниками-нерезидентами банківська гарантія може бути надана у іноземній валюті</w:t>
            </w:r>
            <w:r w:rsidRPr="008F42AB">
              <w:rPr>
                <w:rFonts w:ascii="Times New Roman" w:hAnsi="Times New Roman" w:cs="Times New Roman"/>
                <w:sz w:val="24"/>
                <w:szCs w:val="24"/>
                <w:lang w:eastAsia="zh-CN"/>
              </w:rPr>
              <w:t xml:space="preserve">, розмір якої еквівалентний </w:t>
            </w:r>
            <w:r w:rsidRPr="008F42AB">
              <w:rPr>
                <w:rFonts w:ascii="Times New Roman" w:hAnsi="Times New Roman" w:cs="Times New Roman"/>
                <w:b/>
                <w:sz w:val="24"/>
                <w:szCs w:val="24"/>
              </w:rPr>
              <w:t xml:space="preserve">3 % від суми лоту </w:t>
            </w:r>
            <w:r w:rsidR="00F04ADE">
              <w:rPr>
                <w:rFonts w:ascii="Times New Roman" w:hAnsi="Times New Roman" w:cs="Times New Roman"/>
                <w:b/>
                <w:sz w:val="24"/>
                <w:szCs w:val="24"/>
              </w:rPr>
              <w:t xml:space="preserve">- 6 834,00 (шість тисяч вісімсот тридцять чотири гривні 00 копійок) </w:t>
            </w:r>
            <w:r w:rsidRPr="008F42AB">
              <w:rPr>
                <w:rFonts w:ascii="Times New Roman" w:hAnsi="Times New Roman" w:cs="Times New Roman"/>
                <w:sz w:val="24"/>
                <w:szCs w:val="24"/>
                <w:lang w:eastAsia="zh-CN"/>
              </w:rPr>
              <w:t>за офіційним курсом гривні до іноземної валюти, у якій надається забезпечення</w:t>
            </w:r>
            <w:r w:rsidRPr="00A40943">
              <w:rPr>
                <w:rFonts w:ascii="Times New Roman" w:hAnsi="Times New Roman" w:cs="Times New Roman"/>
                <w:sz w:val="24"/>
                <w:szCs w:val="24"/>
                <w:lang w:eastAsia="zh-CN"/>
              </w:rPr>
              <w:t xml:space="preserve">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402F67" w:rsidRPr="00D860B1" w:rsidRDefault="00402F67" w:rsidP="00402F67">
            <w:pPr>
              <w:spacing w:after="0" w:line="23" w:lineRule="atLeast"/>
              <w:jc w:val="both"/>
              <w:rPr>
                <w:rFonts w:ascii="Times New Roman" w:hAnsi="Times New Roman"/>
                <w:sz w:val="24"/>
                <w:szCs w:val="24"/>
              </w:rPr>
            </w:pPr>
            <w:r w:rsidRPr="00F04ADE">
              <w:rPr>
                <w:rFonts w:ascii="Times New Roman" w:eastAsia="Arial" w:hAnsi="Times New Roman"/>
                <w:b/>
                <w:sz w:val="24"/>
                <w:szCs w:val="24"/>
              </w:rPr>
              <w:t>Реквізити Замовника для оформлення банківської гарантії:</w:t>
            </w:r>
          </w:p>
          <w:p w:rsidR="00F04ADE" w:rsidRDefault="00F04ADE" w:rsidP="00F04ADE">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F04ADE" w:rsidRPr="00A40943" w:rsidRDefault="00F04ADE" w:rsidP="00F04ADE">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F04ADE" w:rsidRPr="00336A4C" w:rsidRDefault="00F04ADE" w:rsidP="00F04ADE">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336A4C">
              <w:rPr>
                <w:rFonts w:ascii="Times New Roman" w:hAnsi="Times New Roman" w:cs="Times New Roman"/>
                <w:sz w:val="24"/>
                <w:szCs w:val="24"/>
                <w:u w:val="single"/>
                <w:lang w:val="ru-RU"/>
              </w:rPr>
              <w:t xml:space="preserve"> </w:t>
            </w:r>
            <w:r w:rsidRPr="00336A4C">
              <w:rPr>
                <w:rFonts w:ascii="Times New Roman" w:hAnsi="Times New Roman" w:cs="Times New Roman"/>
                <w:sz w:val="24"/>
                <w:szCs w:val="24"/>
                <w:u w:val="single"/>
              </w:rPr>
              <w:t>648201720355209005000030941</w:t>
            </w:r>
          </w:p>
          <w:p w:rsidR="00402F67" w:rsidRPr="001F5324" w:rsidRDefault="00F04ADE" w:rsidP="00F04ADE">
            <w:pPr>
              <w:jc w:val="both"/>
            </w:pPr>
            <w:r w:rsidRPr="00336A4C">
              <w:rPr>
                <w:rFonts w:ascii="Times New Roman" w:hAnsi="Times New Roman" w:cs="Times New Roman"/>
                <w:sz w:val="24"/>
                <w:szCs w:val="24"/>
              </w:rPr>
              <w:t>банк Д</w:t>
            </w:r>
            <w:r w:rsidRPr="00336A4C">
              <w:rPr>
                <w:rFonts w:ascii="Times New Roman" w:hAnsi="Times New Roman" w:cs="Times New Roman"/>
                <w:sz w:val="24"/>
                <w:szCs w:val="24"/>
                <w:lang w:val="ru-RU"/>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повертається учаснику протягом протягом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неукладення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непідписання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xml:space="preserve"> статті 17 цього Закону, документів, </w:t>
            </w:r>
            <w:r w:rsidRPr="00A40943">
              <w:rPr>
                <w:rFonts w:ascii="Times New Roman" w:hAnsi="Times New Roman" w:cs="Times New Roman"/>
                <w:sz w:val="24"/>
                <w:szCs w:val="24"/>
              </w:rPr>
              <w:lastRenderedPageBreak/>
              <w:t>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Перелік критеріїв та методика оцінки </w:t>
            </w:r>
            <w:r w:rsidRPr="00A40943">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Оцінка здійснюється щодо предмета закупівлі вцілому.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A40943">
              <w:rPr>
                <w:rFonts w:ascii="Times New Roman" w:eastAsia="Times New Roman" w:hAnsi="Times New Roman" w:cs="Times New Roman"/>
                <w:sz w:val="24"/>
                <w:szCs w:val="24"/>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w:t>
            </w:r>
            <w:r w:rsidRPr="00A40943">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40943">
              <w:rPr>
                <w:rFonts w:ascii="Times New Roman" w:eastAsia="Times New Roman" w:hAnsi="Times New Roman" w:cs="Times New Roman"/>
                <w:color w:val="000000"/>
                <w:sz w:val="24"/>
                <w:szCs w:val="24"/>
              </w:rPr>
              <w:lastRenderedPageBreak/>
              <w:t>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DB7BA2">
              <w:rPr>
                <w:rFonts w:ascii="Times New Roman" w:eastAsia="Times New Roman" w:hAnsi="Times New Roman" w:cs="Times New Roman"/>
                <w:sz w:val="24"/>
                <w:szCs w:val="24"/>
              </w:rPr>
              <w:lastRenderedPageBreak/>
              <w:t>управління активами, одержаними від корупційних та інших злочинів;замовникам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40943">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A40943">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w:t>
            </w:r>
            <w:r w:rsidRPr="00A40943">
              <w:rPr>
                <w:rFonts w:ascii="Times New Roman" w:eastAsia="Times New Roman" w:hAnsi="Times New Roman" w:cs="Times New Roman"/>
                <w:sz w:val="24"/>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Проєкт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F04ADE" w:rsidRDefault="00F04ADE" w:rsidP="00F04ADE">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F04ADE" w:rsidRPr="00A40943" w:rsidRDefault="00F04ADE" w:rsidP="00F04ADE">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F04ADE" w:rsidRPr="00336A4C" w:rsidRDefault="00F04ADE" w:rsidP="00F04ADE">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336A4C">
              <w:rPr>
                <w:rFonts w:ascii="Times New Roman" w:hAnsi="Times New Roman" w:cs="Times New Roman"/>
                <w:sz w:val="24"/>
                <w:szCs w:val="24"/>
                <w:u w:val="single"/>
                <w:lang w:val="ru-RU"/>
              </w:rPr>
              <w:t xml:space="preserve"> </w:t>
            </w:r>
            <w:r w:rsidRPr="00336A4C">
              <w:rPr>
                <w:rFonts w:ascii="Times New Roman" w:hAnsi="Times New Roman" w:cs="Times New Roman"/>
                <w:sz w:val="24"/>
                <w:szCs w:val="24"/>
                <w:u w:val="single"/>
              </w:rPr>
              <w:t>648201720355209005000030941</w:t>
            </w:r>
          </w:p>
          <w:p w:rsidR="00F04ADE" w:rsidRDefault="00F04ADE" w:rsidP="00F04ADE">
            <w:pPr>
              <w:tabs>
                <w:tab w:val="left" w:pos="10381"/>
              </w:tabs>
              <w:spacing w:after="0" w:line="23" w:lineRule="atLeast"/>
              <w:jc w:val="both"/>
              <w:rPr>
                <w:rFonts w:ascii="Times New Roman" w:hAnsi="Times New Roman" w:cs="Times New Roman"/>
                <w:sz w:val="24"/>
                <w:szCs w:val="24"/>
              </w:rPr>
            </w:pPr>
            <w:r w:rsidRPr="00336A4C">
              <w:rPr>
                <w:rFonts w:ascii="Times New Roman" w:hAnsi="Times New Roman" w:cs="Times New Roman"/>
                <w:sz w:val="24"/>
                <w:szCs w:val="24"/>
              </w:rPr>
              <w:lastRenderedPageBreak/>
              <w:t>банк Д</w:t>
            </w:r>
            <w:r w:rsidRPr="00336A4C">
              <w:rPr>
                <w:rFonts w:ascii="Times New Roman" w:hAnsi="Times New Roman" w:cs="Times New Roman"/>
                <w:sz w:val="24"/>
                <w:szCs w:val="24"/>
                <w:lang w:val="ru-RU"/>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p w:rsidR="00402F67" w:rsidRPr="00A40943" w:rsidRDefault="00402F67" w:rsidP="00F04ADE">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w:t>
            </w:r>
            <w:r w:rsidRPr="009958CB">
              <w:rPr>
                <w:rFonts w:ascii="Times New Roman" w:hAnsi="Times New Roman" w:cs="Times New Roman"/>
                <w:sz w:val="24"/>
                <w:szCs w:val="24"/>
              </w:rPr>
              <w:lastRenderedPageBreak/>
              <w:t>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скан-копію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скан-копію свідоцтва про реєстрацію транспортного засобу. Якщо ця техніка належить учаснику на праві власності, то надається лише скан-копія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договору(-ів)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До довідки додаються: скан-копії договору(-ів)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пп.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40943">
        <w:rPr>
          <w:rFonts w:ascii="Times New Roman" w:eastAsia="Times New Roman" w:hAnsi="Times New Roman" w:cs="Times New Roman"/>
          <w:sz w:val="24"/>
          <w:szCs w:val="24"/>
        </w:rPr>
        <w:lastRenderedPageBreak/>
        <w:t>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 xml:space="preserve">Завірену(і) Учасником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експлуатаційного(их) дозволу(ів)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розбірливо).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погоджується з істотними умовами договору про закупівлю та гарантує свої зобов</w:t>
            </w:r>
            <w:r w:rsidRPr="00A40943">
              <w:rPr>
                <w:lang w:val="ru-RU"/>
              </w:rPr>
              <w:t>'</w:t>
            </w:r>
            <w:r w:rsidRPr="00A40943">
              <w:t>язання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заповнений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закупівель.</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eastAsia="Times New Roman" w:hAnsi="Times New Roman" w:cs="Times New Roman"/>
          <w:b/>
          <w:i/>
          <w:color w:val="000000"/>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eastAsia="Times New Roman" w:hAnsi="Times New Roman" w:cs="Times New Roman"/>
          <w:b/>
          <w:i/>
          <w:sz w:val="24"/>
          <w:szCs w:val="24"/>
          <w:highlight w:val="white"/>
        </w:rPr>
        <w:t>ТЕХНІЧНА СПЕЦИФІКАЦІЯ</w:t>
      </w:r>
    </w:p>
    <w:p w:rsidR="0063155E" w:rsidRPr="00A40943" w:rsidRDefault="0063155E" w:rsidP="00A40943">
      <w:pPr>
        <w:spacing w:after="0" w:line="23" w:lineRule="atLeast"/>
        <w:jc w:val="center"/>
        <w:rPr>
          <w:rFonts w:ascii="Times New Roman" w:hAnsi="Times New Roman" w:cs="Times New Roman"/>
          <w:b/>
          <w:bCs/>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552"/>
        <w:gridCol w:w="992"/>
        <w:gridCol w:w="1560"/>
      </w:tblGrid>
      <w:tr w:rsidR="002C1B49" w:rsidRPr="00A40943" w:rsidTr="008F42AB">
        <w:tc>
          <w:tcPr>
            <w:tcW w:w="565"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з/п</w:t>
            </w:r>
          </w:p>
        </w:tc>
        <w:tc>
          <w:tcPr>
            <w:tcW w:w="655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Найменування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Од. вим.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9559D0" w:rsidRDefault="002C1B49" w:rsidP="00A40943">
            <w:pPr>
              <w:pStyle w:val="ab"/>
              <w:spacing w:before="0" w:beforeAutospacing="0" w:after="0" w:afterAutospacing="0" w:line="23" w:lineRule="atLeast"/>
              <w:jc w:val="center"/>
              <w:rPr>
                <w:b/>
                <w:color w:val="000000"/>
                <w:highlight w:val="yellow"/>
                <w:lang w:eastAsia="ru-RU"/>
              </w:rPr>
            </w:pPr>
            <w:r w:rsidRPr="008F42AB">
              <w:rPr>
                <w:b/>
                <w:color w:val="000000"/>
                <w:lang w:eastAsia="ru-RU"/>
              </w:rPr>
              <w:t>Кількість</w:t>
            </w:r>
          </w:p>
        </w:tc>
      </w:tr>
      <w:tr w:rsidR="002C1B49" w:rsidRPr="00A40943" w:rsidTr="008F42AB">
        <w:trPr>
          <w:trHeight w:val="50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402F67" w:rsidRDefault="002C1B49" w:rsidP="002C1B49">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1</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2C1B49" w:rsidRDefault="002C1B49" w:rsidP="002C1B49">
            <w:pPr>
              <w:jc w:val="both"/>
              <w:rPr>
                <w:rFonts w:ascii="Times New Roman" w:hAnsi="Times New Roman" w:cs="Times New Roman"/>
                <w:sz w:val="24"/>
                <w:szCs w:val="24"/>
              </w:rPr>
            </w:pPr>
            <w:r w:rsidRPr="002C1B49">
              <w:rPr>
                <w:rFonts w:ascii="Times New Roman" w:hAnsi="Times New Roman" w:cs="Times New Roman"/>
                <w:sz w:val="24"/>
                <w:szCs w:val="24"/>
              </w:rPr>
              <w:t>Сік томатний (в тетрапаках, об’єм 1 л., 100% натуральний сік, не відновлений, прямого віджиму, не нектар)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8D0F2A" w:rsidRDefault="002C1B49" w:rsidP="002C1B49">
            <w:pPr>
              <w:jc w:val="center"/>
            </w:pPr>
            <w:r>
              <w:t>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1B49" w:rsidRPr="00402F67" w:rsidRDefault="008F42AB" w:rsidP="002C1B49">
            <w:pPr>
              <w:jc w:val="center"/>
              <w:rPr>
                <w:rFonts w:ascii="Times New Roman" w:hAnsi="Times New Roman" w:cs="Times New Roman"/>
                <w:sz w:val="24"/>
                <w:szCs w:val="24"/>
              </w:rPr>
            </w:pPr>
            <w:r>
              <w:rPr>
                <w:rFonts w:ascii="Times New Roman" w:hAnsi="Times New Roman" w:cs="Times New Roman"/>
                <w:sz w:val="24"/>
                <w:szCs w:val="24"/>
              </w:rPr>
              <w:t>1200</w:t>
            </w:r>
          </w:p>
        </w:tc>
      </w:tr>
      <w:tr w:rsidR="002C1B49" w:rsidRPr="00A40943" w:rsidTr="008F42AB">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402F67" w:rsidRDefault="002C1B49" w:rsidP="002C1B49">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2</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2C1B49" w:rsidRDefault="002C1B49" w:rsidP="002C1B49">
            <w:pPr>
              <w:jc w:val="both"/>
              <w:rPr>
                <w:rFonts w:ascii="Times New Roman" w:hAnsi="Times New Roman" w:cs="Times New Roman"/>
                <w:sz w:val="24"/>
                <w:szCs w:val="24"/>
              </w:rPr>
            </w:pPr>
            <w:r w:rsidRPr="002C1B49">
              <w:rPr>
                <w:rFonts w:ascii="Times New Roman" w:hAnsi="Times New Roman" w:cs="Times New Roman"/>
                <w:sz w:val="24"/>
                <w:szCs w:val="24"/>
              </w:rPr>
              <w:t>Сік фруктовий в асортименті (в тетрапаках, об’єм 1л., 100% натуральний сік, не відновлений, прямого віджиму, не нектар)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Default="002C1B49" w:rsidP="002C1B49">
            <w:pPr>
              <w:jc w:val="center"/>
            </w:pPr>
            <w:r>
              <w:t>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1B49" w:rsidRPr="00402F67" w:rsidRDefault="008F42AB" w:rsidP="002C1B49">
            <w:pPr>
              <w:jc w:val="center"/>
              <w:rPr>
                <w:rFonts w:ascii="Times New Roman" w:hAnsi="Times New Roman" w:cs="Times New Roman"/>
                <w:sz w:val="24"/>
                <w:szCs w:val="24"/>
              </w:rPr>
            </w:pPr>
            <w:r>
              <w:rPr>
                <w:rFonts w:ascii="Times New Roman" w:hAnsi="Times New Roman" w:cs="Times New Roman"/>
                <w:sz w:val="24"/>
                <w:szCs w:val="24"/>
              </w:rPr>
              <w:t>1300</w:t>
            </w:r>
          </w:p>
        </w:tc>
      </w:tr>
      <w:tr w:rsidR="002C1B49" w:rsidRPr="00A40943" w:rsidTr="008F42AB">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402F67" w:rsidRDefault="002C1B49" w:rsidP="002C1B4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2C1B49" w:rsidRDefault="002C1B49" w:rsidP="002C1B49">
            <w:pPr>
              <w:jc w:val="both"/>
              <w:rPr>
                <w:rFonts w:ascii="Times New Roman" w:hAnsi="Times New Roman" w:cs="Times New Roman"/>
                <w:sz w:val="24"/>
                <w:szCs w:val="24"/>
              </w:rPr>
            </w:pPr>
            <w:r w:rsidRPr="002C1B49">
              <w:rPr>
                <w:rFonts w:ascii="Times New Roman" w:hAnsi="Times New Roman" w:cs="Times New Roman"/>
                <w:sz w:val="24"/>
                <w:szCs w:val="24"/>
              </w:rPr>
              <w:t>Сік фруктовий в асортименті (в тетрапаках, об’єм 0,2 л., з трубочкою, 100% натуральний сік, не відновлений, прямого віджиму, не нектар)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FA67BC" w:rsidRDefault="008F42AB" w:rsidP="008F42AB">
            <w:pPr>
              <w:jc w:val="center"/>
            </w:pPr>
            <w:r>
              <w:t>шт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1B49" w:rsidRPr="00402F67" w:rsidRDefault="008F42AB" w:rsidP="002C1B49">
            <w:pPr>
              <w:jc w:val="center"/>
              <w:rPr>
                <w:rFonts w:ascii="Times New Roman" w:hAnsi="Times New Roman" w:cs="Times New Roman"/>
                <w:sz w:val="24"/>
                <w:szCs w:val="24"/>
              </w:rPr>
            </w:pPr>
            <w:r>
              <w:rPr>
                <w:rFonts w:ascii="Times New Roman" w:hAnsi="Times New Roman" w:cs="Times New Roman"/>
                <w:sz w:val="24"/>
                <w:szCs w:val="24"/>
              </w:rPr>
              <w:t>1500</w:t>
            </w:r>
          </w:p>
        </w:tc>
      </w:tr>
    </w:tbl>
    <w:p w:rsidR="0063155E" w:rsidRPr="00A40943" w:rsidRDefault="0063155E" w:rsidP="00A40943">
      <w:pPr>
        <w:tabs>
          <w:tab w:val="left" w:pos="426"/>
        </w:tabs>
        <w:spacing w:after="0" w:line="23" w:lineRule="atLeast"/>
        <w:jc w:val="both"/>
        <w:rPr>
          <w:rFonts w:ascii="Times New Roman" w:hAnsi="Times New Roman" w:cs="Times New Roman"/>
          <w:b/>
          <w:color w:val="000000"/>
          <w:sz w:val="24"/>
          <w:szCs w:val="24"/>
          <w:lang w:eastAsia="ru-RU"/>
        </w:rPr>
      </w:pP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w:t>
      </w:r>
      <w:r w:rsidR="0003371E" w:rsidRPr="00A40943">
        <w:rPr>
          <w:rFonts w:ascii="Times New Roman" w:hAnsi="Times New Roman"/>
          <w:color w:val="000000"/>
          <w:sz w:val="24"/>
          <w:szCs w:val="24"/>
          <w:lang w:eastAsia="ru-RU"/>
        </w:rPr>
        <w:lastRenderedPageBreak/>
        <w:t>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F04ADE" w:rsidRPr="00AB5B51">
        <w:rPr>
          <w:rFonts w:ascii="Times New Roman" w:hAnsi="Times New Roman" w:cs="Times New Roman"/>
          <w:sz w:val="24"/>
          <w:szCs w:val="24"/>
        </w:rPr>
        <w:t>місце</w:t>
      </w:r>
      <w:r w:rsidR="00F04ADE"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F04ADE">
        <w:rPr>
          <w:rFonts w:ascii="Times New Roman" w:hAnsi="Times New Roman" w:cs="Times New Roman"/>
          <w:sz w:val="24"/>
          <w:szCs w:val="24"/>
        </w:rPr>
        <w:t>Комунальної установи</w:t>
      </w:r>
      <w:r w:rsidR="00F04ADE" w:rsidRPr="002961D9">
        <w:rPr>
          <w:rFonts w:ascii="Times New Roman" w:hAnsi="Times New Roman" w:cs="Times New Roman"/>
          <w:sz w:val="24"/>
          <w:szCs w:val="24"/>
        </w:rPr>
        <w:t xml:space="preserve"> «Бахмутс</w:t>
      </w:r>
      <w:r w:rsidR="00F04ADE">
        <w:rPr>
          <w:rFonts w:ascii="Times New Roman" w:hAnsi="Times New Roman" w:cs="Times New Roman"/>
          <w:sz w:val="24"/>
          <w:szCs w:val="24"/>
        </w:rPr>
        <w:t>ь</w:t>
      </w:r>
      <w:r w:rsidR="00F04ADE" w:rsidRPr="002961D9">
        <w:rPr>
          <w:rFonts w:ascii="Times New Roman" w:hAnsi="Times New Roman" w:cs="Times New Roman"/>
          <w:sz w:val="24"/>
          <w:szCs w:val="24"/>
        </w:rPr>
        <w:t xml:space="preserve">кий психоневрологічний інтернат», за адресою: </w:t>
      </w:r>
      <w:r w:rsidR="008A3839">
        <w:rPr>
          <w:rFonts w:ascii="Times New Roman" w:hAnsi="Times New Roman" w:cs="Times New Roman"/>
          <w:sz w:val="24"/>
          <w:szCs w:val="24"/>
        </w:rPr>
        <w:t xml:space="preserve">с. Веприк, </w:t>
      </w:r>
      <w:r w:rsidR="00F04ADE" w:rsidRPr="002961D9">
        <w:rPr>
          <w:rFonts w:ascii="Times New Roman" w:hAnsi="Times New Roman" w:cs="Times New Roman"/>
          <w:sz w:val="24"/>
          <w:szCs w:val="24"/>
        </w:rPr>
        <w:t>вул. Заводс</w:t>
      </w:r>
      <w:r w:rsidR="00F04ADE">
        <w:rPr>
          <w:rFonts w:ascii="Times New Roman" w:hAnsi="Times New Roman" w:cs="Times New Roman"/>
          <w:sz w:val="24"/>
          <w:szCs w:val="24"/>
        </w:rPr>
        <w:t>ь</w:t>
      </w:r>
      <w:r w:rsidR="00F04ADE" w:rsidRPr="002961D9">
        <w:rPr>
          <w:rFonts w:ascii="Times New Roman" w:hAnsi="Times New Roman" w:cs="Times New Roman"/>
          <w:sz w:val="24"/>
          <w:szCs w:val="24"/>
        </w:rPr>
        <w:t xml:space="preserve">ка, буд. 4, Миргородський район, Полтавська область, </w:t>
      </w:r>
      <w:r w:rsidR="00F04ADE">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FD1934"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FD1934" w:rsidRPr="00A40943"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lastRenderedPageBreak/>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2023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8D75F9">
      <w:pPr>
        <w:spacing w:after="0" w:line="23" w:lineRule="atLeast"/>
        <w:contextualSpacing/>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w:t>
      </w:r>
      <w:r w:rsidR="002C1B49">
        <w:rPr>
          <w:rFonts w:ascii="Times New Roman" w:hAnsi="Times New Roman" w:cs="Times New Roman"/>
          <w:sz w:val="24"/>
          <w:szCs w:val="24"/>
        </w:rPr>
        <w:t xml:space="preserve">: </w:t>
      </w:r>
      <w:r w:rsidR="002C1B49" w:rsidRPr="002C1B49">
        <w:rPr>
          <w:rFonts w:ascii="Times New Roman" w:eastAsia="Times New Roman" w:hAnsi="Times New Roman" w:cs="Times New Roman"/>
          <w:bCs/>
          <w:sz w:val="24"/>
          <w:szCs w:val="24"/>
        </w:rPr>
        <w:t xml:space="preserve"> </w:t>
      </w:r>
      <w:r w:rsidR="002C1B49" w:rsidRPr="002C1B49">
        <w:rPr>
          <w:rFonts w:ascii="Times New Roman" w:hAnsi="Times New Roman" w:cs="Times New Roman"/>
          <w:color w:val="000000"/>
          <w:sz w:val="24"/>
          <w:szCs w:val="24"/>
        </w:rPr>
        <w:t>Фруктові та овочеві соки  (сік томатний та  сік фруктовий в асортименті  - в тетрапаках, об’єм 1 л., 100% натуральний сік; сік фруктовий в асортименті - в тетрапаках, об’єм 0,2 л., з трубочкою, 100% натуральний сік), ДК 021:2015 – 15320000-7 – Фруктові та овочеві соки</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A40943"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Pr="00A40943">
        <w:rPr>
          <w:rFonts w:ascii="Times New Roman" w:hAnsi="Times New Roman"/>
          <w:sz w:val="24"/>
          <w:szCs w:val="24"/>
          <w:lang w:eastAsia="ru-RU"/>
        </w:rPr>
        <w:t>.</w:t>
      </w:r>
    </w:p>
    <w:p w:rsidR="00113C41" w:rsidRPr="00607592"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AB5B51">
        <w:rPr>
          <w:rFonts w:ascii="Times New Roman" w:hAnsi="Times New Roman" w:cs="Times New Roman"/>
          <w:sz w:val="24"/>
          <w:szCs w:val="24"/>
          <w:lang w:eastAsia="ru-RU"/>
        </w:rPr>
        <w:t>2</w:t>
      </w:r>
      <w:r w:rsidR="00113C41" w:rsidRPr="00AB5B51">
        <w:rPr>
          <w:rFonts w:ascii="Times New Roman" w:hAnsi="Times New Roman" w:cs="Times New Roman"/>
          <w:sz w:val="24"/>
          <w:szCs w:val="24"/>
          <w:lang w:eastAsia="ru-RU"/>
        </w:rPr>
        <w:t>.2.  Місце поставки (передачі) товарів:</w:t>
      </w:r>
      <w:r w:rsidR="00113C41" w:rsidRPr="00AB5B51">
        <w:rPr>
          <w:rFonts w:ascii="Times New Roman" w:hAnsi="Times New Roman" w:cs="Times New Roman"/>
          <w:sz w:val="24"/>
          <w:szCs w:val="24"/>
        </w:rPr>
        <w:t xml:space="preserve">  </w:t>
      </w:r>
      <w:r w:rsidRPr="00AB5B51">
        <w:rPr>
          <w:rFonts w:ascii="Times New Roman" w:hAnsi="Times New Roman" w:cs="Times New Roman"/>
          <w:sz w:val="24"/>
          <w:szCs w:val="24"/>
        </w:rPr>
        <w:t>місце</w:t>
      </w:r>
      <w:r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Pr>
          <w:rFonts w:ascii="Times New Roman" w:hAnsi="Times New Roman" w:cs="Times New Roman"/>
          <w:sz w:val="24"/>
          <w:szCs w:val="24"/>
        </w:rPr>
        <w:t>Комунальної установи</w:t>
      </w:r>
      <w:r w:rsidRPr="002961D9">
        <w:rPr>
          <w:rFonts w:ascii="Times New Roman" w:hAnsi="Times New Roman" w:cs="Times New Roman"/>
          <w:sz w:val="24"/>
          <w:szCs w:val="24"/>
        </w:rPr>
        <w:t xml:space="preserve"> «Бахмутс</w:t>
      </w:r>
      <w:r>
        <w:rPr>
          <w:rFonts w:ascii="Times New Roman" w:hAnsi="Times New Roman" w:cs="Times New Roman"/>
          <w:sz w:val="24"/>
          <w:szCs w:val="24"/>
        </w:rPr>
        <w:t>ь</w:t>
      </w:r>
      <w:r w:rsidRPr="002961D9">
        <w:rPr>
          <w:rFonts w:ascii="Times New Roman" w:hAnsi="Times New Roman" w:cs="Times New Roman"/>
          <w:sz w:val="24"/>
          <w:szCs w:val="24"/>
        </w:rPr>
        <w:t xml:space="preserve">кий психоневрологічний інтернат», за адресою: </w:t>
      </w:r>
      <w:r w:rsidR="008A3839">
        <w:rPr>
          <w:rFonts w:ascii="Times New Roman" w:hAnsi="Times New Roman" w:cs="Times New Roman"/>
          <w:sz w:val="24"/>
          <w:szCs w:val="24"/>
        </w:rPr>
        <w:t xml:space="preserve">с. Веприк, </w:t>
      </w:r>
      <w:r w:rsidRPr="002961D9">
        <w:rPr>
          <w:rFonts w:ascii="Times New Roman" w:hAnsi="Times New Roman" w:cs="Times New Roman"/>
          <w:sz w:val="24"/>
          <w:szCs w:val="24"/>
        </w:rPr>
        <w:t>вул. Заводс</w:t>
      </w:r>
      <w:r>
        <w:rPr>
          <w:rFonts w:ascii="Times New Roman" w:hAnsi="Times New Roman" w:cs="Times New Roman"/>
          <w:sz w:val="24"/>
          <w:szCs w:val="24"/>
        </w:rPr>
        <w:t>ь</w:t>
      </w:r>
      <w:r w:rsidRPr="002961D9">
        <w:rPr>
          <w:rFonts w:ascii="Times New Roman" w:hAnsi="Times New Roman" w:cs="Times New Roman"/>
          <w:sz w:val="24"/>
          <w:szCs w:val="24"/>
        </w:rPr>
        <w:t>ка, буд. 4, Миргородський район, Полтавська область, Україна</w:t>
      </w:r>
      <w:r w:rsidRPr="002961D9">
        <w:rPr>
          <w:rFonts w:ascii="Times New Roman" w:eastAsia="Times New Roman" w:hAnsi="Times New Roman" w:cs="Times New Roman"/>
          <w:color w:val="222222"/>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2.3. Товар повинен постачатись </w:t>
      </w:r>
      <w:bookmarkStart w:id="14" w:name="_Hlk161325964"/>
      <w:r w:rsidR="00AB5B51" w:rsidRPr="002961D9">
        <w:rPr>
          <w:rFonts w:ascii="Times New Roman" w:hAnsi="Times New Roman" w:cs="Times New Roman"/>
          <w:sz w:val="24"/>
          <w:szCs w:val="24"/>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15" w:name="_Hlk161325996"/>
      <w:bookmarkEnd w:id="14"/>
      <w:r w:rsidR="00AB5B51"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bookmarkEnd w:id="15"/>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lastRenderedPageBreak/>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в т.ч.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4.3. Ціна цього Договору може бути зменшена за взаємною згодою Сторін.</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bookmarkStart w:id="16" w:name="_Hlk161392179"/>
      <w:r w:rsidRPr="00A40943">
        <w:rPr>
          <w:rFonts w:ascii="Times New Roman" w:hAnsi="Times New Roman" w:cs="Times New Roman"/>
          <w:sz w:val="24"/>
          <w:szCs w:val="24"/>
        </w:rPr>
        <w:lastRenderedPageBreak/>
        <w:t xml:space="preserve">4.4. Замовник оплачує отриманий товар протягом </w:t>
      </w:r>
      <w:r w:rsidR="008A3839">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sidR="008A3839">
        <w:rPr>
          <w:rFonts w:ascii="Times New Roman" w:hAnsi="Times New Roman" w:cs="Times New Roman"/>
          <w:sz w:val="24"/>
          <w:szCs w:val="24"/>
        </w:rPr>
        <w:t xml:space="preserve"> згідно накладної, в якій вказані всі реквізити, </w:t>
      </w:r>
      <w:r w:rsidR="008A3839"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sidR="008A3839">
        <w:rPr>
          <w:rFonts w:ascii="Times New Roman" w:hAnsi="Times New Roman" w:cs="Times New Roman"/>
          <w:sz w:val="24"/>
          <w:szCs w:val="24"/>
        </w:rPr>
        <w:t>6</w:t>
      </w:r>
      <w:r w:rsidRPr="00A40943">
        <w:rPr>
          <w:rFonts w:ascii="Times New Roman" w:hAnsi="Times New Roman" w:cs="Times New Roman"/>
          <w:sz w:val="24"/>
          <w:szCs w:val="24"/>
        </w:rPr>
        <w:t>. Будь-які штрафні та оперативно-господарські санкції у випадку, передбаченому п. 4.5 цього Договору, до Замовника не застосовуються.</w:t>
      </w:r>
    </w:p>
    <w:bookmarkEnd w:id="16"/>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w:t>
      </w:r>
      <w:r w:rsidRPr="00A40943">
        <w:rPr>
          <w:rFonts w:ascii="Times New Roman" w:hAnsi="Times New Roman" w:cs="Times New Roman"/>
          <w:sz w:val="24"/>
          <w:szCs w:val="24"/>
        </w:rPr>
        <w:lastRenderedPageBreak/>
        <w:t>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 xml:space="preserve">E-mail: </w:t>
            </w:r>
            <w:hyperlink r:id="rId17" w:history="1">
              <w:r w:rsidRPr="00A40943">
                <w:rPr>
                  <w:rStyle w:val="a8"/>
                  <w:rFonts w:ascii="Times New Roman" w:hAnsi="Times New Roman" w:cs="Times New Roman"/>
                  <w:sz w:val="24"/>
                  <w:szCs w:val="24"/>
                </w:rPr>
                <w:t>______________________________</w:t>
              </w:r>
            </w:hyperlink>
          </w:p>
          <w:p w:rsidR="0063155E" w:rsidRPr="00A40943" w:rsidRDefault="008A3839" w:rsidP="00A40943">
            <w:pPr>
              <w:spacing w:line="23" w:lineRule="atLeast"/>
              <w:jc w:val="both"/>
              <w:rPr>
                <w:rFonts w:ascii="Times New Roman" w:hAnsi="Times New Roman" w:cs="Times New Roman"/>
                <w:sz w:val="24"/>
                <w:szCs w:val="24"/>
              </w:rPr>
            </w:pPr>
            <w:r>
              <w:rPr>
                <w:rFonts w:ascii="Times New Roman" w:hAnsi="Times New Roman" w:cs="Times New Roman"/>
                <w:sz w:val="24"/>
                <w:szCs w:val="24"/>
              </w:rPr>
              <w:t>телефон</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Default="0063155E" w:rsidP="00A40943">
      <w:pPr>
        <w:pStyle w:val="22"/>
        <w:shd w:val="clear" w:color="auto" w:fill="auto"/>
        <w:tabs>
          <w:tab w:val="left" w:pos="728"/>
        </w:tabs>
        <w:spacing w:before="0" w:line="23" w:lineRule="atLeast"/>
        <w:ind w:firstLine="5529"/>
        <w:contextualSpacing/>
        <w:jc w:val="right"/>
        <w:rPr>
          <w:sz w:val="24"/>
          <w:szCs w:val="24"/>
        </w:rPr>
      </w:pPr>
    </w:p>
    <w:p w:rsidR="00F87651" w:rsidRDefault="00F87651"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4013"/>
        <w:gridCol w:w="993"/>
        <w:gridCol w:w="992"/>
        <w:gridCol w:w="1389"/>
        <w:gridCol w:w="2126"/>
      </w:tblGrid>
      <w:tr w:rsidR="0063155E" w:rsidRPr="00A40943" w:rsidTr="002C1B49">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01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99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389"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w:t>
            </w:r>
            <w:r w:rsidR="002F731B">
              <w:rPr>
                <w:rFonts w:ascii="Times New Roman" w:hAnsi="Times New Roman"/>
                <w:b/>
                <w:bCs/>
                <w:sz w:val="24"/>
                <w:szCs w:val="24"/>
              </w:rPr>
              <w:t>/без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w:t>
            </w:r>
            <w:r w:rsidR="002F731B">
              <w:rPr>
                <w:rFonts w:ascii="Times New Roman" w:hAnsi="Times New Roman"/>
                <w:b/>
                <w:bCs/>
                <w:sz w:val="24"/>
                <w:szCs w:val="24"/>
              </w:rPr>
              <w:t>/без ПДВ</w:t>
            </w:r>
            <w:bookmarkStart w:id="17" w:name="_GoBack"/>
            <w:bookmarkEnd w:id="17"/>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2C1B49" w:rsidRPr="002C1B49" w:rsidRDefault="002C1B49" w:rsidP="002C1B49">
            <w:pPr>
              <w:spacing w:after="0" w:line="23" w:lineRule="atLeast"/>
              <w:contextualSpacing/>
              <w:jc w:val="center"/>
              <w:rPr>
                <w:rFonts w:ascii="Times New Roman" w:eastAsia="Times New Roman" w:hAnsi="Times New Roman" w:cs="Times New Roman"/>
                <w:bCs/>
                <w:color w:val="000000"/>
                <w:sz w:val="24"/>
                <w:szCs w:val="24"/>
              </w:rPr>
            </w:pPr>
            <w:r w:rsidRPr="002C1B49">
              <w:rPr>
                <w:rFonts w:ascii="Times New Roman" w:eastAsia="Times New Roman" w:hAnsi="Times New Roman" w:cs="Times New Roman"/>
                <w:bCs/>
                <w:sz w:val="24"/>
                <w:szCs w:val="24"/>
              </w:rPr>
              <w:t>15320000-7 - Фруктові та овочеві соки</w:t>
            </w:r>
          </w:p>
          <w:p w:rsidR="0063155E" w:rsidRPr="00113C41" w:rsidRDefault="0063155E" w:rsidP="00F87651">
            <w:pPr>
              <w:spacing w:after="0" w:line="23" w:lineRule="atLeast"/>
              <w:contextualSpacing/>
              <w:jc w:val="center"/>
              <w:rPr>
                <w:rFonts w:ascii="Times New Roman" w:eastAsia="Times New Roman" w:hAnsi="Times New Roman" w:cs="Times New Roman"/>
                <w:b/>
                <w:color w:val="000000"/>
                <w:sz w:val="24"/>
                <w:szCs w:val="24"/>
              </w:rPr>
            </w:pPr>
          </w:p>
        </w:tc>
      </w:tr>
      <w:tr w:rsidR="002C1B49" w:rsidRPr="00A40943" w:rsidTr="008F42AB">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C1B49" w:rsidRPr="00A40943" w:rsidRDefault="002C1B49" w:rsidP="002C1B49">
            <w:pPr>
              <w:spacing w:after="0" w:line="23" w:lineRule="atLeast"/>
              <w:jc w:val="center"/>
              <w:rPr>
                <w:rFonts w:ascii="Times New Roman" w:hAnsi="Times New Roman"/>
                <w:sz w:val="24"/>
                <w:szCs w:val="24"/>
              </w:rPr>
            </w:pPr>
            <w:r w:rsidRPr="00A40943">
              <w:rPr>
                <w:rFonts w:ascii="Times New Roman" w:hAnsi="Times New Roman"/>
                <w:sz w:val="24"/>
                <w:szCs w:val="24"/>
              </w:rPr>
              <w:t>1</w:t>
            </w:r>
          </w:p>
        </w:tc>
        <w:tc>
          <w:tcPr>
            <w:tcW w:w="4013" w:type="dxa"/>
            <w:tcBorders>
              <w:top w:val="nil"/>
              <w:left w:val="single" w:sz="4" w:space="0" w:color="000000"/>
              <w:bottom w:val="single" w:sz="4" w:space="0" w:color="000000"/>
              <w:right w:val="nil"/>
            </w:tcBorders>
            <w:shd w:val="clear" w:color="auto" w:fill="auto"/>
            <w:vAlign w:val="bottom"/>
          </w:tcPr>
          <w:p w:rsidR="002C1B49" w:rsidRPr="002C1B49" w:rsidRDefault="002C1B49" w:rsidP="002C1B49">
            <w:pPr>
              <w:jc w:val="both"/>
              <w:rPr>
                <w:rFonts w:ascii="Times New Roman" w:hAnsi="Times New Roman" w:cs="Times New Roman"/>
                <w:sz w:val="24"/>
                <w:szCs w:val="24"/>
              </w:rPr>
            </w:pPr>
            <w:r w:rsidRPr="002C1B49">
              <w:rPr>
                <w:rFonts w:ascii="Times New Roman" w:hAnsi="Times New Roman" w:cs="Times New Roman"/>
                <w:sz w:val="24"/>
                <w:szCs w:val="24"/>
              </w:rPr>
              <w:t>Сік томатний (в тетрапаках, об’єм 1 л., 100% натуральний сік, не відновлений, прямого віджиму, не нектар)</w:t>
            </w:r>
          </w:p>
        </w:tc>
        <w:tc>
          <w:tcPr>
            <w:tcW w:w="993" w:type="dxa"/>
            <w:tcBorders>
              <w:top w:val="nil"/>
              <w:left w:val="single" w:sz="4" w:space="0" w:color="000000"/>
              <w:bottom w:val="single" w:sz="4" w:space="0" w:color="000000"/>
              <w:right w:val="nil"/>
            </w:tcBorders>
            <w:shd w:val="clear" w:color="auto" w:fill="auto"/>
            <w:vAlign w:val="bottom"/>
          </w:tcPr>
          <w:p w:rsidR="002C1B49" w:rsidRPr="00402F67" w:rsidRDefault="002C1B49" w:rsidP="002C1B49">
            <w:pPr>
              <w:jc w:val="center"/>
              <w:rPr>
                <w:rFonts w:ascii="Times New Roman" w:hAnsi="Times New Roman" w:cs="Times New Roman"/>
                <w:sz w:val="24"/>
                <w:szCs w:val="24"/>
              </w:rPr>
            </w:pPr>
            <w:r>
              <w:rPr>
                <w:rFonts w:ascii="Times New Roman" w:hAnsi="Times New Roman" w:cs="Times New Roman"/>
                <w:sz w:val="24"/>
                <w:szCs w:val="24"/>
              </w:rPr>
              <w:t>л</w:t>
            </w:r>
          </w:p>
        </w:tc>
        <w:tc>
          <w:tcPr>
            <w:tcW w:w="992" w:type="dxa"/>
            <w:tcBorders>
              <w:top w:val="nil"/>
              <w:left w:val="single" w:sz="4" w:space="0" w:color="000000"/>
              <w:bottom w:val="single" w:sz="4" w:space="0" w:color="000000"/>
              <w:right w:val="nil"/>
            </w:tcBorders>
            <w:shd w:val="clear" w:color="auto" w:fill="auto"/>
            <w:vAlign w:val="center"/>
          </w:tcPr>
          <w:p w:rsidR="002C1B49" w:rsidRPr="008F42AB" w:rsidRDefault="008F42AB" w:rsidP="002C1B49">
            <w:pPr>
              <w:spacing w:after="0" w:line="23" w:lineRule="atLeast"/>
              <w:jc w:val="center"/>
              <w:rPr>
                <w:rFonts w:ascii="Times New Roman" w:hAnsi="Times New Roman"/>
                <w:sz w:val="24"/>
                <w:szCs w:val="24"/>
              </w:rPr>
            </w:pPr>
            <w:r w:rsidRPr="008F42AB">
              <w:rPr>
                <w:rFonts w:ascii="Times New Roman" w:hAnsi="Times New Roman"/>
                <w:sz w:val="24"/>
                <w:szCs w:val="24"/>
              </w:rPr>
              <w:t>1200</w:t>
            </w:r>
          </w:p>
        </w:tc>
        <w:tc>
          <w:tcPr>
            <w:tcW w:w="1389" w:type="dxa"/>
            <w:tcBorders>
              <w:top w:val="nil"/>
              <w:left w:val="single" w:sz="4" w:space="0" w:color="000000"/>
              <w:bottom w:val="single" w:sz="4" w:space="0" w:color="000000"/>
              <w:right w:val="nil"/>
            </w:tcBorders>
            <w:shd w:val="clear" w:color="auto" w:fill="auto"/>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C1B49" w:rsidRPr="00A40943" w:rsidTr="008F42AB">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C1B49" w:rsidRPr="00A40943" w:rsidRDefault="002C1B49" w:rsidP="002C1B49">
            <w:pPr>
              <w:spacing w:after="0" w:line="23" w:lineRule="atLeast"/>
              <w:jc w:val="center"/>
              <w:rPr>
                <w:rFonts w:ascii="Times New Roman" w:hAnsi="Times New Roman"/>
                <w:sz w:val="24"/>
                <w:szCs w:val="24"/>
              </w:rPr>
            </w:pPr>
            <w:r>
              <w:rPr>
                <w:rFonts w:ascii="Times New Roman" w:hAnsi="Times New Roman"/>
                <w:sz w:val="24"/>
                <w:szCs w:val="24"/>
              </w:rPr>
              <w:t>2</w:t>
            </w:r>
          </w:p>
        </w:tc>
        <w:tc>
          <w:tcPr>
            <w:tcW w:w="4013" w:type="dxa"/>
            <w:tcBorders>
              <w:top w:val="nil"/>
              <w:left w:val="single" w:sz="4" w:space="0" w:color="000000"/>
              <w:bottom w:val="single" w:sz="4" w:space="0" w:color="000000"/>
              <w:right w:val="nil"/>
            </w:tcBorders>
            <w:shd w:val="clear" w:color="auto" w:fill="auto"/>
            <w:vAlign w:val="bottom"/>
          </w:tcPr>
          <w:p w:rsidR="002C1B49" w:rsidRPr="002C1B49" w:rsidRDefault="002C1B49" w:rsidP="002C1B49">
            <w:pPr>
              <w:jc w:val="both"/>
              <w:rPr>
                <w:rFonts w:ascii="Times New Roman" w:hAnsi="Times New Roman" w:cs="Times New Roman"/>
                <w:sz w:val="24"/>
                <w:szCs w:val="24"/>
              </w:rPr>
            </w:pPr>
            <w:r w:rsidRPr="002C1B49">
              <w:rPr>
                <w:rFonts w:ascii="Times New Roman" w:hAnsi="Times New Roman" w:cs="Times New Roman"/>
                <w:sz w:val="24"/>
                <w:szCs w:val="24"/>
              </w:rPr>
              <w:t>Сік фруктовий в асортименті (в тетрапаках, об’єм 1л., 100% натуральний сік, не відновлений, прямого віджиму, не нектар)</w:t>
            </w:r>
          </w:p>
        </w:tc>
        <w:tc>
          <w:tcPr>
            <w:tcW w:w="993" w:type="dxa"/>
            <w:tcBorders>
              <w:top w:val="nil"/>
              <w:left w:val="single" w:sz="4" w:space="0" w:color="000000"/>
              <w:bottom w:val="single" w:sz="4" w:space="0" w:color="000000"/>
              <w:right w:val="nil"/>
            </w:tcBorders>
            <w:shd w:val="clear" w:color="auto" w:fill="auto"/>
          </w:tcPr>
          <w:p w:rsidR="002C1B49" w:rsidRDefault="002C1B49" w:rsidP="002C1B49">
            <w:pPr>
              <w:jc w:val="center"/>
              <w:rPr>
                <w:rFonts w:ascii="Times New Roman" w:hAnsi="Times New Roman" w:cs="Times New Roman"/>
              </w:rPr>
            </w:pPr>
          </w:p>
          <w:p w:rsidR="002C1B49" w:rsidRPr="00402F67" w:rsidRDefault="002C1B49" w:rsidP="002C1B49">
            <w:pPr>
              <w:jc w:val="center"/>
              <w:rPr>
                <w:rFonts w:ascii="Times New Roman" w:hAnsi="Times New Roman" w:cs="Times New Roman"/>
              </w:rPr>
            </w:pPr>
            <w:r>
              <w:rPr>
                <w:rFonts w:ascii="Times New Roman" w:hAnsi="Times New Roman" w:cs="Times New Roman"/>
              </w:rPr>
              <w:t>л</w:t>
            </w:r>
          </w:p>
        </w:tc>
        <w:tc>
          <w:tcPr>
            <w:tcW w:w="992" w:type="dxa"/>
            <w:tcBorders>
              <w:top w:val="nil"/>
              <w:left w:val="single" w:sz="4" w:space="0" w:color="000000"/>
              <w:bottom w:val="single" w:sz="4" w:space="0" w:color="000000"/>
              <w:right w:val="nil"/>
            </w:tcBorders>
            <w:shd w:val="clear" w:color="auto" w:fill="auto"/>
            <w:vAlign w:val="center"/>
          </w:tcPr>
          <w:p w:rsidR="002C1B49" w:rsidRPr="008F42AB" w:rsidRDefault="008F42AB" w:rsidP="002C1B49">
            <w:pPr>
              <w:spacing w:after="0" w:line="23" w:lineRule="atLeast"/>
              <w:jc w:val="center"/>
              <w:rPr>
                <w:rFonts w:ascii="Times New Roman" w:hAnsi="Times New Roman"/>
                <w:sz w:val="24"/>
                <w:szCs w:val="24"/>
              </w:rPr>
            </w:pPr>
            <w:r w:rsidRPr="008F42AB">
              <w:rPr>
                <w:rFonts w:ascii="Times New Roman" w:hAnsi="Times New Roman"/>
                <w:sz w:val="24"/>
                <w:szCs w:val="24"/>
              </w:rPr>
              <w:t>1300</w:t>
            </w:r>
          </w:p>
        </w:tc>
        <w:tc>
          <w:tcPr>
            <w:tcW w:w="1389" w:type="dxa"/>
            <w:tcBorders>
              <w:top w:val="nil"/>
              <w:left w:val="single" w:sz="4" w:space="0" w:color="000000"/>
              <w:bottom w:val="single" w:sz="4" w:space="0" w:color="000000"/>
              <w:right w:val="nil"/>
            </w:tcBorders>
            <w:shd w:val="clear" w:color="auto" w:fill="auto"/>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C1B49" w:rsidRPr="00A40943" w:rsidTr="008F42AB">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C1B49" w:rsidRDefault="002C1B49" w:rsidP="002C1B49">
            <w:pPr>
              <w:spacing w:after="0" w:line="23" w:lineRule="atLeast"/>
              <w:jc w:val="center"/>
              <w:rPr>
                <w:rFonts w:ascii="Times New Roman" w:hAnsi="Times New Roman"/>
                <w:sz w:val="24"/>
                <w:szCs w:val="24"/>
              </w:rPr>
            </w:pPr>
            <w:r>
              <w:rPr>
                <w:rFonts w:ascii="Times New Roman" w:hAnsi="Times New Roman"/>
                <w:sz w:val="24"/>
                <w:szCs w:val="24"/>
              </w:rPr>
              <w:t>3</w:t>
            </w:r>
          </w:p>
        </w:tc>
        <w:tc>
          <w:tcPr>
            <w:tcW w:w="4013" w:type="dxa"/>
            <w:tcBorders>
              <w:top w:val="nil"/>
              <w:left w:val="single" w:sz="4" w:space="0" w:color="000000"/>
              <w:bottom w:val="single" w:sz="4" w:space="0" w:color="000000"/>
              <w:right w:val="nil"/>
            </w:tcBorders>
            <w:shd w:val="clear" w:color="auto" w:fill="auto"/>
            <w:vAlign w:val="bottom"/>
          </w:tcPr>
          <w:p w:rsidR="002C1B49" w:rsidRPr="002C1B49" w:rsidRDefault="002C1B49" w:rsidP="002C1B49">
            <w:pPr>
              <w:jc w:val="both"/>
              <w:rPr>
                <w:rFonts w:ascii="Times New Roman" w:hAnsi="Times New Roman" w:cs="Times New Roman"/>
                <w:sz w:val="24"/>
                <w:szCs w:val="24"/>
              </w:rPr>
            </w:pPr>
            <w:r w:rsidRPr="002C1B49">
              <w:rPr>
                <w:rFonts w:ascii="Times New Roman" w:hAnsi="Times New Roman" w:cs="Times New Roman"/>
                <w:sz w:val="24"/>
                <w:szCs w:val="24"/>
              </w:rPr>
              <w:t>Сік фруктовий в асортименті (в тетрапаках, об’єм 0,2 л., з трубочкою, 100% натуральний сік, не відновлений, прямого віджиму, не нектар)</w:t>
            </w:r>
          </w:p>
        </w:tc>
        <w:tc>
          <w:tcPr>
            <w:tcW w:w="993" w:type="dxa"/>
            <w:tcBorders>
              <w:top w:val="nil"/>
              <w:left w:val="single" w:sz="4" w:space="0" w:color="000000"/>
              <w:bottom w:val="single" w:sz="4" w:space="0" w:color="000000"/>
              <w:right w:val="nil"/>
            </w:tcBorders>
            <w:shd w:val="clear" w:color="auto" w:fill="auto"/>
          </w:tcPr>
          <w:p w:rsidR="002C1B49" w:rsidRDefault="002C1B49" w:rsidP="002C1B49">
            <w:pPr>
              <w:jc w:val="center"/>
              <w:rPr>
                <w:rFonts w:ascii="Times New Roman" w:hAnsi="Times New Roman" w:cs="Times New Roman"/>
                <w:sz w:val="24"/>
                <w:szCs w:val="24"/>
              </w:rPr>
            </w:pPr>
          </w:p>
          <w:p w:rsidR="002C1B49" w:rsidRPr="00402F67" w:rsidRDefault="008F42AB" w:rsidP="002C1B49">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nil"/>
              <w:left w:val="single" w:sz="4" w:space="0" w:color="000000"/>
              <w:bottom w:val="single" w:sz="4" w:space="0" w:color="000000"/>
              <w:right w:val="nil"/>
            </w:tcBorders>
            <w:shd w:val="clear" w:color="auto" w:fill="auto"/>
            <w:vAlign w:val="center"/>
          </w:tcPr>
          <w:p w:rsidR="002C1B49" w:rsidRPr="008F42AB" w:rsidRDefault="008F42AB" w:rsidP="002C1B49">
            <w:pPr>
              <w:spacing w:after="0" w:line="23" w:lineRule="atLeast"/>
              <w:jc w:val="center"/>
              <w:rPr>
                <w:rFonts w:ascii="Times New Roman" w:hAnsi="Times New Roman"/>
                <w:sz w:val="24"/>
                <w:szCs w:val="24"/>
              </w:rPr>
            </w:pPr>
            <w:r w:rsidRPr="008F42AB">
              <w:rPr>
                <w:rFonts w:ascii="Times New Roman" w:hAnsi="Times New Roman"/>
                <w:sz w:val="24"/>
                <w:szCs w:val="24"/>
              </w:rPr>
              <w:t>1500</w:t>
            </w:r>
          </w:p>
        </w:tc>
        <w:tc>
          <w:tcPr>
            <w:tcW w:w="1389" w:type="dxa"/>
            <w:tcBorders>
              <w:top w:val="nil"/>
              <w:left w:val="single" w:sz="4" w:space="0" w:color="000000"/>
              <w:bottom w:val="single" w:sz="4" w:space="0" w:color="000000"/>
              <w:right w:val="nil"/>
            </w:tcBorders>
            <w:shd w:val="clear" w:color="auto" w:fill="auto"/>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C1B49"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C1B49"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C1B49"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p w:rsidR="0063155E" w:rsidRPr="00A40943" w:rsidRDefault="0063155E" w:rsidP="00A40943">
      <w:pPr>
        <w:spacing w:after="0" w:line="23" w:lineRule="atLeast"/>
        <w:ind w:left="-180" w:right="-104"/>
        <w:jc w:val="center"/>
        <w:rPr>
          <w:rFonts w:ascii="Times New Roman" w:hAnsi="Times New Roman"/>
          <w:b/>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spacing w:after="0" w:line="23" w:lineRule="atLeast"/>
        <w:rPr>
          <w:rFonts w:ascii="Times New Roman" w:hAnsi="Times New Roman"/>
          <w:sz w:val="24"/>
          <w:szCs w:val="24"/>
          <w:lang w:eastAsia="ru-RU"/>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FD7266" w:rsidRDefault="0063155E" w:rsidP="00B83CB1">
      <w:pPr>
        <w:spacing w:after="0" w:line="23" w:lineRule="atLeast"/>
        <w:contextualSpacing/>
        <w:jc w:val="both"/>
        <w:rPr>
          <w:rFonts w:ascii="Times New Roman" w:hAnsi="Times New Roman" w:cs="Times New Roman"/>
          <w:color w:val="000000"/>
          <w:sz w:val="24"/>
          <w:szCs w:val="24"/>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2C1B49" w:rsidRPr="002C1B49">
        <w:rPr>
          <w:rFonts w:ascii="Times New Roman" w:hAnsi="Times New Roman" w:cs="Times New Roman"/>
          <w:color w:val="000000"/>
          <w:sz w:val="24"/>
          <w:szCs w:val="24"/>
        </w:rPr>
        <w:t>Фруктові та овочеві соки  (сік томатний та  сік фруктовий в асортименті  - в тетрапаках, об’єм 1 л., 100% натуральний сік; сік фруктовий в асортименті - в тетрапаках, об’єм 0,2 л., з трубочкою, 100% натуральний сік), ДК 021:2015 – 15320000-7 – Фруктові та овочеві соки</w:t>
      </w:r>
    </w:p>
    <w:p w:rsidR="002C1B49" w:rsidRPr="00A40943" w:rsidRDefault="002C1B49" w:rsidP="00B83CB1">
      <w:pPr>
        <w:spacing w:after="0" w:line="23" w:lineRule="atLeast"/>
        <w:contextualSpacing/>
        <w:jc w:val="both"/>
        <w:rPr>
          <w:rFonts w:ascii="Times New Roman" w:hAnsi="Times New Roman" w:cs="Times New Roman"/>
          <w:b/>
          <w:sz w:val="24"/>
          <w:szCs w:val="24"/>
        </w:rPr>
      </w:pPr>
    </w:p>
    <w:p w:rsidR="0063155E" w:rsidRPr="00A40943" w:rsidRDefault="0063155E" w:rsidP="00A40943">
      <w:pPr>
        <w:spacing w:after="0" w:line="23" w:lineRule="atLeast"/>
        <w:ind w:firstLine="567"/>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в т.ч.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39"/>
        <w:gridCol w:w="822"/>
        <w:gridCol w:w="992"/>
        <w:gridCol w:w="1701"/>
        <w:gridCol w:w="2187"/>
      </w:tblGrid>
      <w:tr w:rsidR="0063155E" w:rsidRPr="00A40943" w:rsidTr="00FD1934">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13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82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FD1934" w:rsidRPr="00A40943" w:rsidTr="008F42AB">
        <w:trPr>
          <w:trHeight w:val="568"/>
        </w:trPr>
        <w:tc>
          <w:tcPr>
            <w:tcW w:w="534" w:type="dxa"/>
            <w:vAlign w:val="center"/>
          </w:tcPr>
          <w:p w:rsidR="00FD1934" w:rsidRPr="00A40943" w:rsidRDefault="00FD1934" w:rsidP="00FD1934">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4139" w:type="dxa"/>
            <w:shd w:val="clear" w:color="auto" w:fill="auto"/>
            <w:vAlign w:val="bottom"/>
          </w:tcPr>
          <w:p w:rsidR="00FD1934" w:rsidRPr="002C1B49" w:rsidRDefault="00FD1934" w:rsidP="00FD1934">
            <w:pPr>
              <w:jc w:val="both"/>
              <w:rPr>
                <w:rFonts w:ascii="Times New Roman" w:hAnsi="Times New Roman" w:cs="Times New Roman"/>
                <w:sz w:val="24"/>
                <w:szCs w:val="24"/>
              </w:rPr>
            </w:pPr>
            <w:r w:rsidRPr="002C1B49">
              <w:rPr>
                <w:rFonts w:ascii="Times New Roman" w:hAnsi="Times New Roman" w:cs="Times New Roman"/>
                <w:sz w:val="24"/>
                <w:szCs w:val="24"/>
              </w:rPr>
              <w:t>Сік томатний (в тетрапаках, об’єм 1 л., 100% натуральний сік, не відновлений, прямого віджиму, не нектар)</w:t>
            </w:r>
          </w:p>
        </w:tc>
        <w:tc>
          <w:tcPr>
            <w:tcW w:w="822" w:type="dxa"/>
            <w:shd w:val="clear" w:color="auto" w:fill="auto"/>
            <w:vAlign w:val="bottom"/>
          </w:tcPr>
          <w:p w:rsidR="00FD1934" w:rsidRPr="00402F67" w:rsidRDefault="00FD1934" w:rsidP="00FD1934">
            <w:pPr>
              <w:jc w:val="center"/>
              <w:rPr>
                <w:rFonts w:ascii="Times New Roman" w:hAnsi="Times New Roman" w:cs="Times New Roman"/>
                <w:sz w:val="24"/>
                <w:szCs w:val="24"/>
              </w:rPr>
            </w:pPr>
            <w:r>
              <w:rPr>
                <w:rFonts w:ascii="Times New Roman" w:hAnsi="Times New Roman" w:cs="Times New Roman"/>
                <w:sz w:val="24"/>
                <w:szCs w:val="24"/>
              </w:rPr>
              <w:t>л</w:t>
            </w:r>
          </w:p>
        </w:tc>
        <w:tc>
          <w:tcPr>
            <w:tcW w:w="992" w:type="dxa"/>
            <w:shd w:val="clear" w:color="auto" w:fill="auto"/>
            <w:vAlign w:val="center"/>
          </w:tcPr>
          <w:p w:rsidR="00FD1934" w:rsidRPr="00A40943" w:rsidRDefault="008F42AB" w:rsidP="00FD1934">
            <w:pPr>
              <w:spacing w:after="0" w:line="23" w:lineRule="atLeast"/>
              <w:jc w:val="center"/>
              <w:rPr>
                <w:rFonts w:ascii="Times New Roman" w:hAnsi="Times New Roman"/>
                <w:sz w:val="24"/>
                <w:szCs w:val="24"/>
              </w:rPr>
            </w:pPr>
            <w:r>
              <w:rPr>
                <w:rFonts w:ascii="Times New Roman" w:hAnsi="Times New Roman"/>
                <w:sz w:val="24"/>
                <w:szCs w:val="24"/>
              </w:rPr>
              <w:t>1200</w:t>
            </w:r>
          </w:p>
        </w:tc>
        <w:tc>
          <w:tcPr>
            <w:tcW w:w="1701" w:type="dxa"/>
            <w:vAlign w:val="center"/>
          </w:tcPr>
          <w:p w:rsidR="00FD1934" w:rsidRPr="00A40943" w:rsidRDefault="00FD1934" w:rsidP="00FD1934">
            <w:pPr>
              <w:spacing w:after="0" w:line="23" w:lineRule="atLeast"/>
              <w:jc w:val="center"/>
              <w:rPr>
                <w:rFonts w:ascii="Times New Roman" w:hAnsi="Times New Roman"/>
                <w:bCs/>
                <w:sz w:val="24"/>
                <w:szCs w:val="24"/>
              </w:rPr>
            </w:pPr>
          </w:p>
        </w:tc>
        <w:tc>
          <w:tcPr>
            <w:tcW w:w="2187" w:type="dxa"/>
            <w:vAlign w:val="center"/>
          </w:tcPr>
          <w:p w:rsidR="00FD1934" w:rsidRPr="00A40943" w:rsidRDefault="00FD1934" w:rsidP="00FD1934">
            <w:pPr>
              <w:spacing w:after="0" w:line="23" w:lineRule="atLeast"/>
              <w:jc w:val="center"/>
              <w:rPr>
                <w:rFonts w:ascii="Times New Roman" w:hAnsi="Times New Roman"/>
                <w:bCs/>
                <w:sz w:val="24"/>
                <w:szCs w:val="24"/>
              </w:rPr>
            </w:pPr>
          </w:p>
        </w:tc>
      </w:tr>
      <w:tr w:rsidR="00FD1934" w:rsidRPr="00A40943" w:rsidTr="008F42AB">
        <w:trPr>
          <w:trHeight w:val="512"/>
        </w:trPr>
        <w:tc>
          <w:tcPr>
            <w:tcW w:w="534" w:type="dxa"/>
            <w:vAlign w:val="center"/>
          </w:tcPr>
          <w:p w:rsidR="00FD1934" w:rsidRPr="00A40943" w:rsidRDefault="00FD1934" w:rsidP="00FD1934">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4139" w:type="dxa"/>
            <w:shd w:val="clear" w:color="auto" w:fill="auto"/>
            <w:vAlign w:val="bottom"/>
          </w:tcPr>
          <w:p w:rsidR="00FD1934" w:rsidRPr="002C1B49" w:rsidRDefault="00FD1934" w:rsidP="00FD1934">
            <w:pPr>
              <w:jc w:val="both"/>
              <w:rPr>
                <w:rFonts w:ascii="Times New Roman" w:hAnsi="Times New Roman" w:cs="Times New Roman"/>
                <w:sz w:val="24"/>
                <w:szCs w:val="24"/>
              </w:rPr>
            </w:pPr>
            <w:r w:rsidRPr="002C1B49">
              <w:rPr>
                <w:rFonts w:ascii="Times New Roman" w:hAnsi="Times New Roman" w:cs="Times New Roman"/>
                <w:sz w:val="24"/>
                <w:szCs w:val="24"/>
              </w:rPr>
              <w:t>Сік фруктовий в асортименті (в тетрапаках, об’єм 1л., 100% натуральний сік, не відновлений, прямого віджиму, не нектар)</w:t>
            </w:r>
          </w:p>
        </w:tc>
        <w:tc>
          <w:tcPr>
            <w:tcW w:w="822" w:type="dxa"/>
            <w:shd w:val="clear" w:color="auto" w:fill="auto"/>
          </w:tcPr>
          <w:p w:rsidR="00FD1934" w:rsidRDefault="00FD1934" w:rsidP="00FD1934">
            <w:pPr>
              <w:jc w:val="center"/>
              <w:rPr>
                <w:rFonts w:ascii="Times New Roman" w:hAnsi="Times New Roman" w:cs="Times New Roman"/>
              </w:rPr>
            </w:pPr>
          </w:p>
          <w:p w:rsidR="00FD1934" w:rsidRPr="00402F67" w:rsidRDefault="00FD1934" w:rsidP="00FD1934">
            <w:pPr>
              <w:jc w:val="center"/>
              <w:rPr>
                <w:rFonts w:ascii="Times New Roman" w:hAnsi="Times New Roman" w:cs="Times New Roman"/>
              </w:rPr>
            </w:pPr>
            <w:r>
              <w:rPr>
                <w:rFonts w:ascii="Times New Roman" w:hAnsi="Times New Roman" w:cs="Times New Roman"/>
              </w:rPr>
              <w:t>л</w:t>
            </w:r>
          </w:p>
        </w:tc>
        <w:tc>
          <w:tcPr>
            <w:tcW w:w="992" w:type="dxa"/>
            <w:shd w:val="clear" w:color="auto" w:fill="auto"/>
            <w:vAlign w:val="center"/>
          </w:tcPr>
          <w:p w:rsidR="00FD1934" w:rsidRPr="00A40943" w:rsidRDefault="008F42AB" w:rsidP="00FD1934">
            <w:pPr>
              <w:spacing w:after="0" w:line="23" w:lineRule="atLeast"/>
              <w:jc w:val="center"/>
              <w:rPr>
                <w:rFonts w:ascii="Times New Roman" w:hAnsi="Times New Roman"/>
                <w:sz w:val="24"/>
                <w:szCs w:val="24"/>
              </w:rPr>
            </w:pPr>
            <w:r>
              <w:rPr>
                <w:rFonts w:ascii="Times New Roman" w:hAnsi="Times New Roman"/>
                <w:sz w:val="24"/>
                <w:szCs w:val="24"/>
              </w:rPr>
              <w:t>1300</w:t>
            </w:r>
          </w:p>
        </w:tc>
        <w:tc>
          <w:tcPr>
            <w:tcW w:w="1701" w:type="dxa"/>
            <w:vAlign w:val="center"/>
          </w:tcPr>
          <w:p w:rsidR="00FD1934" w:rsidRPr="00A40943" w:rsidRDefault="00FD1934" w:rsidP="00FD1934">
            <w:pPr>
              <w:spacing w:after="0" w:line="23" w:lineRule="atLeast"/>
              <w:jc w:val="center"/>
              <w:rPr>
                <w:rFonts w:ascii="Times New Roman" w:hAnsi="Times New Roman"/>
                <w:bCs/>
                <w:sz w:val="24"/>
                <w:szCs w:val="24"/>
              </w:rPr>
            </w:pPr>
          </w:p>
        </w:tc>
        <w:tc>
          <w:tcPr>
            <w:tcW w:w="2187" w:type="dxa"/>
            <w:vAlign w:val="center"/>
          </w:tcPr>
          <w:p w:rsidR="00FD1934" w:rsidRPr="00A40943" w:rsidRDefault="00FD1934" w:rsidP="00FD1934">
            <w:pPr>
              <w:spacing w:after="0" w:line="23" w:lineRule="atLeast"/>
              <w:jc w:val="center"/>
              <w:rPr>
                <w:rFonts w:ascii="Times New Roman" w:hAnsi="Times New Roman"/>
                <w:bCs/>
                <w:sz w:val="24"/>
                <w:szCs w:val="24"/>
              </w:rPr>
            </w:pPr>
          </w:p>
        </w:tc>
      </w:tr>
      <w:tr w:rsidR="00FD1934" w:rsidRPr="00A40943" w:rsidTr="008F42AB">
        <w:trPr>
          <w:trHeight w:val="512"/>
        </w:trPr>
        <w:tc>
          <w:tcPr>
            <w:tcW w:w="534" w:type="dxa"/>
            <w:vAlign w:val="center"/>
          </w:tcPr>
          <w:p w:rsidR="00FD1934" w:rsidRDefault="00FD1934" w:rsidP="00FD1934">
            <w:pPr>
              <w:spacing w:after="0" w:line="23" w:lineRule="atLeast"/>
              <w:jc w:val="center"/>
              <w:rPr>
                <w:rFonts w:ascii="Times New Roman" w:hAnsi="Times New Roman"/>
                <w:bCs/>
                <w:sz w:val="24"/>
                <w:szCs w:val="24"/>
              </w:rPr>
            </w:pPr>
            <w:r>
              <w:rPr>
                <w:rFonts w:ascii="Times New Roman" w:hAnsi="Times New Roman"/>
                <w:bCs/>
                <w:sz w:val="24"/>
                <w:szCs w:val="24"/>
              </w:rPr>
              <w:t>3</w:t>
            </w:r>
          </w:p>
        </w:tc>
        <w:tc>
          <w:tcPr>
            <w:tcW w:w="4139" w:type="dxa"/>
            <w:shd w:val="clear" w:color="auto" w:fill="auto"/>
            <w:vAlign w:val="bottom"/>
          </w:tcPr>
          <w:p w:rsidR="00FD1934" w:rsidRPr="002C1B49" w:rsidRDefault="00FD1934" w:rsidP="00FD1934">
            <w:pPr>
              <w:jc w:val="both"/>
              <w:rPr>
                <w:rFonts w:ascii="Times New Roman" w:hAnsi="Times New Roman" w:cs="Times New Roman"/>
                <w:sz w:val="24"/>
                <w:szCs w:val="24"/>
              </w:rPr>
            </w:pPr>
            <w:r w:rsidRPr="002C1B49">
              <w:rPr>
                <w:rFonts w:ascii="Times New Roman" w:hAnsi="Times New Roman" w:cs="Times New Roman"/>
                <w:sz w:val="24"/>
                <w:szCs w:val="24"/>
              </w:rPr>
              <w:t>Сік фруктовий в асортименті (в тетрапаках, об’єм 0,2 л., з трубочкою, 100% натуральний сік, не відновлений, прямого віджиму, не нектар)</w:t>
            </w:r>
          </w:p>
        </w:tc>
        <w:tc>
          <w:tcPr>
            <w:tcW w:w="822" w:type="dxa"/>
            <w:shd w:val="clear" w:color="auto" w:fill="auto"/>
          </w:tcPr>
          <w:p w:rsidR="00FD1934" w:rsidRDefault="00FD1934" w:rsidP="00FD1934">
            <w:pPr>
              <w:jc w:val="center"/>
              <w:rPr>
                <w:rFonts w:ascii="Times New Roman" w:hAnsi="Times New Roman" w:cs="Times New Roman"/>
                <w:sz w:val="24"/>
                <w:szCs w:val="24"/>
              </w:rPr>
            </w:pPr>
          </w:p>
          <w:p w:rsidR="00FD1934" w:rsidRPr="00402F67" w:rsidRDefault="008F42AB" w:rsidP="00FD1934">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shd w:val="clear" w:color="auto" w:fill="auto"/>
            <w:vAlign w:val="center"/>
          </w:tcPr>
          <w:p w:rsidR="00FD1934" w:rsidRPr="00A40943" w:rsidRDefault="008F42AB" w:rsidP="00FD1934">
            <w:pPr>
              <w:spacing w:after="0" w:line="23" w:lineRule="atLeast"/>
              <w:jc w:val="center"/>
              <w:rPr>
                <w:rFonts w:ascii="Times New Roman" w:hAnsi="Times New Roman"/>
                <w:sz w:val="24"/>
                <w:szCs w:val="24"/>
              </w:rPr>
            </w:pPr>
            <w:r>
              <w:rPr>
                <w:rFonts w:ascii="Times New Roman" w:hAnsi="Times New Roman"/>
                <w:sz w:val="24"/>
                <w:szCs w:val="24"/>
              </w:rPr>
              <w:t>1500</w:t>
            </w:r>
          </w:p>
        </w:tc>
        <w:tc>
          <w:tcPr>
            <w:tcW w:w="1701" w:type="dxa"/>
            <w:vAlign w:val="center"/>
          </w:tcPr>
          <w:p w:rsidR="00FD1934" w:rsidRPr="00A40943" w:rsidRDefault="00FD1934" w:rsidP="00FD1934">
            <w:pPr>
              <w:spacing w:after="0" w:line="23" w:lineRule="atLeast"/>
              <w:jc w:val="center"/>
              <w:rPr>
                <w:rFonts w:ascii="Times New Roman" w:hAnsi="Times New Roman"/>
                <w:bCs/>
                <w:sz w:val="24"/>
                <w:szCs w:val="24"/>
              </w:rPr>
            </w:pPr>
          </w:p>
        </w:tc>
        <w:tc>
          <w:tcPr>
            <w:tcW w:w="2187" w:type="dxa"/>
            <w:vAlign w:val="center"/>
          </w:tcPr>
          <w:p w:rsidR="00FD1934" w:rsidRPr="00A40943" w:rsidRDefault="00FD1934" w:rsidP="00FD1934">
            <w:pPr>
              <w:spacing w:after="0" w:line="23" w:lineRule="atLeast"/>
              <w:jc w:val="center"/>
              <w:rPr>
                <w:rFonts w:ascii="Times New Roman" w:hAnsi="Times New Roman"/>
                <w:bCs/>
                <w:sz w:val="24"/>
                <w:szCs w:val="24"/>
              </w:rPr>
            </w:pPr>
          </w:p>
        </w:tc>
      </w:tr>
      <w:tr w:rsidR="00B26534" w:rsidRPr="00A40943" w:rsidTr="0063155E">
        <w:tc>
          <w:tcPr>
            <w:tcW w:w="8188" w:type="dxa"/>
            <w:gridSpan w:val="5"/>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lastRenderedPageBreak/>
              <w:t>Загальна вартість, з ПДВ:</w:t>
            </w:r>
          </w:p>
        </w:tc>
        <w:tc>
          <w:tcPr>
            <w:tcW w:w="2187" w:type="dxa"/>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B26534" w:rsidRPr="00A40943" w:rsidTr="0063155E">
        <w:tc>
          <w:tcPr>
            <w:tcW w:w="8188" w:type="dxa"/>
            <w:gridSpan w:val="5"/>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B26534" w:rsidRPr="00A40943" w:rsidTr="0063155E">
        <w:tc>
          <w:tcPr>
            <w:tcW w:w="8188" w:type="dxa"/>
            <w:gridSpan w:val="5"/>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взяти на себе зобов'язання виконати всі умови, передбачені проєктом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Наявність арифметичних помилок або невідповідностей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4D8" w:rsidRDefault="00AB24D8" w:rsidP="007525C5">
      <w:pPr>
        <w:spacing w:after="0" w:line="240" w:lineRule="auto"/>
      </w:pPr>
      <w:r>
        <w:separator/>
      </w:r>
    </w:p>
  </w:endnote>
  <w:endnote w:type="continuationSeparator" w:id="0">
    <w:p w:rsidR="00AB24D8" w:rsidRDefault="00AB24D8"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4D8" w:rsidRDefault="00AB24D8" w:rsidP="007525C5">
      <w:pPr>
        <w:spacing w:after="0" w:line="240" w:lineRule="auto"/>
      </w:pPr>
      <w:r>
        <w:separator/>
      </w:r>
    </w:p>
  </w:footnote>
  <w:footnote w:type="continuationSeparator" w:id="0">
    <w:p w:rsidR="00AB24D8" w:rsidRDefault="00AB24D8"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Content>
      <w:p w:rsidR="008A3839" w:rsidRDefault="008A3839">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8A3839" w:rsidRDefault="008A383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26E42"/>
    <w:rsid w:val="0003371E"/>
    <w:rsid w:val="000E257C"/>
    <w:rsid w:val="00110049"/>
    <w:rsid w:val="00111880"/>
    <w:rsid w:val="00113C41"/>
    <w:rsid w:val="00115D16"/>
    <w:rsid w:val="00150D2D"/>
    <w:rsid w:val="00183B58"/>
    <w:rsid w:val="0018450C"/>
    <w:rsid w:val="001C6563"/>
    <w:rsid w:val="001F5324"/>
    <w:rsid w:val="00204752"/>
    <w:rsid w:val="00215FF6"/>
    <w:rsid w:val="00220475"/>
    <w:rsid w:val="00224BAF"/>
    <w:rsid w:val="0026060F"/>
    <w:rsid w:val="00283FEC"/>
    <w:rsid w:val="00292387"/>
    <w:rsid w:val="002B6455"/>
    <w:rsid w:val="002B7829"/>
    <w:rsid w:val="002C1B49"/>
    <w:rsid w:val="002D763A"/>
    <w:rsid w:val="002F731B"/>
    <w:rsid w:val="00312441"/>
    <w:rsid w:val="003632DC"/>
    <w:rsid w:val="00366284"/>
    <w:rsid w:val="00376492"/>
    <w:rsid w:val="003A36E1"/>
    <w:rsid w:val="003D6565"/>
    <w:rsid w:val="00402F67"/>
    <w:rsid w:val="00427F05"/>
    <w:rsid w:val="00461B12"/>
    <w:rsid w:val="00461E68"/>
    <w:rsid w:val="00463D3E"/>
    <w:rsid w:val="0046576B"/>
    <w:rsid w:val="00472A98"/>
    <w:rsid w:val="004B4CD5"/>
    <w:rsid w:val="004B774D"/>
    <w:rsid w:val="004D699C"/>
    <w:rsid w:val="00500D4A"/>
    <w:rsid w:val="005447A1"/>
    <w:rsid w:val="00571348"/>
    <w:rsid w:val="00576EF4"/>
    <w:rsid w:val="0063155E"/>
    <w:rsid w:val="00660BAF"/>
    <w:rsid w:val="00731FA6"/>
    <w:rsid w:val="0073616F"/>
    <w:rsid w:val="007525C5"/>
    <w:rsid w:val="007A5689"/>
    <w:rsid w:val="007E0DBA"/>
    <w:rsid w:val="00806D05"/>
    <w:rsid w:val="008A0F1E"/>
    <w:rsid w:val="008A3839"/>
    <w:rsid w:val="008D75F9"/>
    <w:rsid w:val="008F42AB"/>
    <w:rsid w:val="009122BE"/>
    <w:rsid w:val="009154E5"/>
    <w:rsid w:val="009252B7"/>
    <w:rsid w:val="009458CE"/>
    <w:rsid w:val="009559D0"/>
    <w:rsid w:val="00974550"/>
    <w:rsid w:val="00976E10"/>
    <w:rsid w:val="00977AAD"/>
    <w:rsid w:val="009958CB"/>
    <w:rsid w:val="009B1509"/>
    <w:rsid w:val="009E2793"/>
    <w:rsid w:val="00A37C0D"/>
    <w:rsid w:val="00A40943"/>
    <w:rsid w:val="00AB24D8"/>
    <w:rsid w:val="00AB4913"/>
    <w:rsid w:val="00AB5B51"/>
    <w:rsid w:val="00AD7F9E"/>
    <w:rsid w:val="00AE7B75"/>
    <w:rsid w:val="00B26534"/>
    <w:rsid w:val="00B423C8"/>
    <w:rsid w:val="00B66FA7"/>
    <w:rsid w:val="00B83CB1"/>
    <w:rsid w:val="00B85A44"/>
    <w:rsid w:val="00B9737B"/>
    <w:rsid w:val="00BA1216"/>
    <w:rsid w:val="00BC24D3"/>
    <w:rsid w:val="00BC7E43"/>
    <w:rsid w:val="00BF0BB6"/>
    <w:rsid w:val="00BF338F"/>
    <w:rsid w:val="00C46BA2"/>
    <w:rsid w:val="00C85952"/>
    <w:rsid w:val="00C87091"/>
    <w:rsid w:val="00CB27B4"/>
    <w:rsid w:val="00CB78BE"/>
    <w:rsid w:val="00CC38BF"/>
    <w:rsid w:val="00CD4ADE"/>
    <w:rsid w:val="00CD6E78"/>
    <w:rsid w:val="00CF2FD1"/>
    <w:rsid w:val="00D002D2"/>
    <w:rsid w:val="00D36579"/>
    <w:rsid w:val="00D44A45"/>
    <w:rsid w:val="00D76914"/>
    <w:rsid w:val="00D860B1"/>
    <w:rsid w:val="00DA4A09"/>
    <w:rsid w:val="00DB6C1D"/>
    <w:rsid w:val="00DB7BA2"/>
    <w:rsid w:val="00DC648B"/>
    <w:rsid w:val="00E03038"/>
    <w:rsid w:val="00E1434A"/>
    <w:rsid w:val="00E35AB7"/>
    <w:rsid w:val="00F04ADE"/>
    <w:rsid w:val="00F07356"/>
    <w:rsid w:val="00F334FC"/>
    <w:rsid w:val="00F61CBD"/>
    <w:rsid w:val="00F662FA"/>
    <w:rsid w:val="00F87651"/>
    <w:rsid w:val="00FA3237"/>
    <w:rsid w:val="00FB7210"/>
    <w:rsid w:val="00FB7953"/>
    <w:rsid w:val="00FD1934"/>
    <w:rsid w:val="00FD7266"/>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1EC6"/>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A9F1E-068B-4C8A-9A8C-439CC37F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18524</Words>
  <Characters>105590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8</cp:revision>
  <cp:lastPrinted>2023-06-09T06:59:00Z</cp:lastPrinted>
  <dcterms:created xsi:type="dcterms:W3CDTF">2024-03-14T15:54:00Z</dcterms:created>
  <dcterms:modified xsi:type="dcterms:W3CDTF">2024-03-15T09:01:00Z</dcterms:modified>
</cp:coreProperties>
</file>