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01" w:rsidRPr="00EE5801" w:rsidRDefault="00EE5801" w:rsidP="00EE5801">
      <w:pPr>
        <w:numPr>
          <w:ilvl w:val="0"/>
          <w:numId w:val="1"/>
        </w:numPr>
        <w:jc w:val="right"/>
        <w:rPr>
          <w:rFonts w:eastAsia="Calibri"/>
          <w:sz w:val="24"/>
          <w:szCs w:val="24"/>
        </w:rPr>
      </w:pPr>
      <w:r w:rsidRPr="00EE5801">
        <w:rPr>
          <w:rFonts w:eastAsia="Calibri"/>
          <w:sz w:val="24"/>
          <w:szCs w:val="24"/>
        </w:rPr>
        <w:t>Додаток 6</w:t>
      </w:r>
    </w:p>
    <w:p w:rsidR="00EE5801" w:rsidRPr="00EE5801" w:rsidRDefault="00EE5801" w:rsidP="00EE5801">
      <w:pPr>
        <w:numPr>
          <w:ilvl w:val="0"/>
          <w:numId w:val="1"/>
        </w:numPr>
        <w:jc w:val="right"/>
        <w:rPr>
          <w:rFonts w:eastAsia="Calibri"/>
          <w:sz w:val="24"/>
          <w:szCs w:val="24"/>
        </w:rPr>
      </w:pPr>
      <w:r w:rsidRPr="00EE5801">
        <w:rPr>
          <w:rFonts w:eastAsia="Calibri"/>
          <w:sz w:val="24"/>
          <w:szCs w:val="24"/>
        </w:rPr>
        <w:t>до тендерної документації</w:t>
      </w:r>
    </w:p>
    <w:p w:rsidR="00EE5801" w:rsidRPr="00EE5801" w:rsidRDefault="00EE5801" w:rsidP="00EE5801">
      <w:pPr>
        <w:numPr>
          <w:ilvl w:val="0"/>
          <w:numId w:val="1"/>
        </w:numPr>
        <w:jc w:val="right"/>
        <w:rPr>
          <w:rFonts w:eastAsia="Calibri"/>
          <w:i/>
          <w:iCs/>
          <w:sz w:val="24"/>
          <w:szCs w:val="24"/>
        </w:rPr>
      </w:pPr>
      <w:r w:rsidRPr="00EE5801">
        <w:rPr>
          <w:rFonts w:eastAsia="Calibri"/>
          <w:i/>
          <w:iCs/>
          <w:sz w:val="24"/>
          <w:szCs w:val="24"/>
        </w:rPr>
        <w:t>Форма «Тендерна пропозиція» подається у вигляді, наведеному нижче</w:t>
      </w:r>
    </w:p>
    <w:p w:rsidR="00EE5801" w:rsidRPr="00EE5801" w:rsidRDefault="00EE5801" w:rsidP="00EE5801">
      <w:pPr>
        <w:numPr>
          <w:ilvl w:val="0"/>
          <w:numId w:val="1"/>
        </w:numPr>
        <w:jc w:val="right"/>
        <w:rPr>
          <w:rFonts w:eastAsia="Calibri"/>
          <w:b/>
          <w:sz w:val="24"/>
          <w:szCs w:val="24"/>
        </w:rPr>
      </w:pPr>
      <w:r w:rsidRPr="00EE5801">
        <w:rPr>
          <w:rFonts w:eastAsia="Calibri"/>
          <w:i/>
          <w:iCs/>
          <w:sz w:val="24"/>
          <w:szCs w:val="24"/>
        </w:rPr>
        <w:t>Учасник не повинен відступати від даної форми</w:t>
      </w:r>
    </w:p>
    <w:p w:rsidR="00B23008" w:rsidRPr="00DA1BE9" w:rsidRDefault="00B23008" w:rsidP="00B23008">
      <w:pPr>
        <w:numPr>
          <w:ilvl w:val="0"/>
          <w:numId w:val="1"/>
        </w:numPr>
        <w:jc w:val="center"/>
        <w:rPr>
          <w:rFonts w:eastAsia="Calibri"/>
          <w:b/>
          <w:sz w:val="24"/>
          <w:szCs w:val="24"/>
        </w:rPr>
      </w:pPr>
      <w:r w:rsidRPr="00DA1BE9">
        <w:rPr>
          <w:rFonts w:eastAsia="Calibri"/>
          <w:b/>
          <w:sz w:val="24"/>
          <w:szCs w:val="24"/>
        </w:rPr>
        <w:t>ФОРМА «ТЕНДЕРНА ПРОПОЗИЦІЯ»</w:t>
      </w:r>
    </w:p>
    <w:p w:rsidR="00B23008" w:rsidRPr="00DA1BE9" w:rsidRDefault="00B23008" w:rsidP="00B23008">
      <w:pPr>
        <w:numPr>
          <w:ilvl w:val="0"/>
          <w:numId w:val="1"/>
        </w:numPr>
        <w:jc w:val="center"/>
        <w:rPr>
          <w:rFonts w:eastAsia="Calibri"/>
          <w:sz w:val="24"/>
          <w:szCs w:val="24"/>
        </w:rPr>
      </w:pPr>
      <w:r w:rsidRPr="00DA1BE9">
        <w:rPr>
          <w:rFonts w:eastAsia="Calibri"/>
          <w:sz w:val="24"/>
          <w:szCs w:val="24"/>
        </w:rPr>
        <w:t>(подається Учасником на фірмовому бланку)</w:t>
      </w:r>
    </w:p>
    <w:p w:rsidR="00B23008" w:rsidRPr="00DA1BE9" w:rsidRDefault="00B23008" w:rsidP="00B23008">
      <w:pPr>
        <w:numPr>
          <w:ilvl w:val="0"/>
          <w:numId w:val="1"/>
        </w:numPr>
        <w:rPr>
          <w:rFonts w:eastAsia="Calibri"/>
          <w:sz w:val="24"/>
          <w:szCs w:val="24"/>
        </w:rPr>
      </w:pPr>
    </w:p>
    <w:p w:rsidR="00B23008" w:rsidRPr="00DA1BE9" w:rsidRDefault="00B23008" w:rsidP="00B23008">
      <w:pPr>
        <w:numPr>
          <w:ilvl w:val="0"/>
          <w:numId w:val="1"/>
        </w:numPr>
        <w:jc w:val="center"/>
        <w:rPr>
          <w:rFonts w:eastAsia="Calibri"/>
          <w:b/>
          <w:sz w:val="24"/>
          <w:szCs w:val="24"/>
        </w:rPr>
      </w:pPr>
      <w:r w:rsidRPr="00DA1BE9">
        <w:rPr>
          <w:rFonts w:eastAsia="Calibri"/>
          <w:b/>
          <w:sz w:val="24"/>
          <w:szCs w:val="24"/>
        </w:rPr>
        <w:t>«Тендерна пропозиція № _______ від  _____________ 202</w:t>
      </w:r>
      <w:r>
        <w:rPr>
          <w:rFonts w:eastAsia="Calibri"/>
          <w:b/>
          <w:sz w:val="24"/>
          <w:szCs w:val="24"/>
        </w:rPr>
        <w:t>4</w:t>
      </w:r>
      <w:r w:rsidRPr="00DA1BE9">
        <w:rPr>
          <w:rFonts w:eastAsia="Calibri"/>
          <w:b/>
          <w:sz w:val="24"/>
          <w:szCs w:val="24"/>
        </w:rPr>
        <w:t xml:space="preserve"> року»</w:t>
      </w:r>
    </w:p>
    <w:p w:rsidR="00B23008" w:rsidRPr="00DA1BE9" w:rsidRDefault="00B23008" w:rsidP="00B23008">
      <w:pPr>
        <w:rPr>
          <w:rFonts w:eastAsia="Calibri"/>
          <w:sz w:val="24"/>
          <w:szCs w:val="24"/>
        </w:rPr>
      </w:pPr>
    </w:p>
    <w:p w:rsidR="00B23008" w:rsidRPr="00DA1BE9" w:rsidRDefault="00B23008" w:rsidP="00B23008">
      <w:pPr>
        <w:rPr>
          <w:rFonts w:eastAsia="Calibri"/>
          <w:b/>
          <w:sz w:val="24"/>
          <w:szCs w:val="24"/>
        </w:rPr>
      </w:pPr>
      <w:r w:rsidRPr="00DA1BE9">
        <w:rPr>
          <w:rFonts w:eastAsia="Calibri"/>
          <w:sz w:val="24"/>
          <w:szCs w:val="24"/>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0" w:name="_Hlk109817765"/>
      <w:r w:rsidRPr="00DA1BE9">
        <w:rPr>
          <w:rFonts w:eastAsia="Times New Roman"/>
          <w:b/>
          <w:szCs w:val="24"/>
        </w:rPr>
        <w:t xml:space="preserve"> </w:t>
      </w:r>
      <w:bookmarkEnd w:id="0"/>
      <w:r w:rsidRPr="00DF1B40">
        <w:rPr>
          <w:rFonts w:eastAsia="Times New Roman"/>
          <w:b/>
          <w:sz w:val="24"/>
          <w:szCs w:val="24"/>
        </w:rPr>
        <w:t xml:space="preserve">ДК 021:2015 50710000-5 Послуги з ремонту і технічного обслуговування електричного і механічного устаткування будівель (Технічне обслуговування пожежної автоматики: системи пожежної сигналізації, оповіщення про пожежу та управління евакуацією людей, устаткування передавання тривожних сповіщень та здійснення пожежного спостерігання за пожежною автоматикою об’єкта за допомогою свого обладнання (картки </w:t>
      </w:r>
      <w:r w:rsidRPr="00DF1B40">
        <w:rPr>
          <w:rFonts w:eastAsia="Times New Roman"/>
          <w:b/>
          <w:sz w:val="24"/>
          <w:szCs w:val="24"/>
          <w:lang w:val="en-US"/>
        </w:rPr>
        <w:t>GSM</w:t>
      </w:r>
      <w:r w:rsidRPr="00DF1B40">
        <w:rPr>
          <w:rFonts w:eastAsia="Times New Roman"/>
          <w:b/>
          <w:sz w:val="24"/>
          <w:szCs w:val="24"/>
        </w:rPr>
        <w:t>))</w:t>
      </w:r>
      <w:r w:rsidRPr="00DA1BE9">
        <w:rPr>
          <w:rFonts w:eastAsia="Calibri"/>
          <w:b/>
          <w:sz w:val="24"/>
          <w:szCs w:val="24"/>
        </w:rPr>
        <w:t>.</w:t>
      </w:r>
    </w:p>
    <w:p w:rsidR="00B23008" w:rsidRDefault="00B23008" w:rsidP="00B23008">
      <w:pPr>
        <w:rPr>
          <w:rFonts w:eastAsia="Calibri"/>
          <w:sz w:val="24"/>
          <w:szCs w:val="24"/>
        </w:rPr>
      </w:pPr>
      <w:r w:rsidRPr="00DA1BE9">
        <w:rPr>
          <w:rFonts w:eastAsia="Calibri"/>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00DD507E">
        <w:rPr>
          <w:rFonts w:eastAsia="Calibri"/>
          <w:sz w:val="24"/>
          <w:szCs w:val="24"/>
        </w:rPr>
        <w:t>_______________</w:t>
      </w:r>
      <w:r>
        <w:rPr>
          <w:rFonts w:eastAsia="Calibri"/>
          <w:sz w:val="24"/>
          <w:szCs w:val="24"/>
        </w:rPr>
        <w:t xml:space="preserve"> грн __ коп. (__________________грн 00 коп.), в тому числі ПДВ - _________грн,/без ПДВ.</w:t>
      </w:r>
    </w:p>
    <w:p w:rsidR="00DD507E" w:rsidRPr="00DD507E" w:rsidRDefault="00DD507E" w:rsidP="00DD507E">
      <w:pPr>
        <w:jc w:val="center"/>
        <w:rPr>
          <w:rFonts w:eastAsia="Calibri"/>
          <w:b/>
          <w:szCs w:val="24"/>
        </w:rPr>
      </w:pPr>
      <w:r w:rsidRPr="00DD507E">
        <w:rPr>
          <w:rFonts w:eastAsia="Calibri"/>
          <w:b/>
          <w:sz w:val="24"/>
          <w:szCs w:val="24"/>
        </w:rPr>
        <w:t>Розрахунок вартості послуг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2"/>
        <w:gridCol w:w="2251"/>
      </w:tblGrid>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p>
        </w:tc>
        <w:tc>
          <w:tcPr>
            <w:tcW w:w="2251" w:type="dxa"/>
            <w:shd w:val="clear" w:color="auto" w:fill="auto"/>
          </w:tcPr>
          <w:p w:rsidR="00DD507E" w:rsidRPr="00DD507E" w:rsidRDefault="00DD507E" w:rsidP="00DD507E">
            <w:pPr>
              <w:ind w:firstLine="0"/>
              <w:rPr>
                <w:rFonts w:eastAsia="Calibri"/>
                <w:b/>
                <w:sz w:val="22"/>
                <w:szCs w:val="24"/>
              </w:rPr>
            </w:pPr>
            <w:r w:rsidRPr="00DD507E">
              <w:rPr>
                <w:rFonts w:eastAsia="Calibri"/>
                <w:sz w:val="22"/>
                <w:szCs w:val="24"/>
              </w:rPr>
              <w:t>Вартість у місяць з ПДВ*, грн</w:t>
            </w:r>
          </w:p>
        </w:tc>
      </w:tr>
      <w:tr w:rsidR="00DD507E" w:rsidRPr="00DD507E" w:rsidTr="00DD507E">
        <w:tc>
          <w:tcPr>
            <w:tcW w:w="9923" w:type="dxa"/>
            <w:gridSpan w:val="2"/>
            <w:shd w:val="clear" w:color="auto" w:fill="auto"/>
          </w:tcPr>
          <w:p w:rsidR="00DD507E" w:rsidRPr="00DD507E" w:rsidRDefault="00DD507E" w:rsidP="00DD507E">
            <w:pPr>
              <w:numPr>
                <w:ilvl w:val="0"/>
                <w:numId w:val="2"/>
              </w:numPr>
              <w:ind w:firstLine="0"/>
              <w:rPr>
                <w:rFonts w:eastAsia="Calibri"/>
                <w:b/>
                <w:sz w:val="22"/>
                <w:szCs w:val="24"/>
              </w:rPr>
            </w:pPr>
            <w:r w:rsidRPr="00DD507E">
              <w:rPr>
                <w:rFonts w:eastAsia="Calibri"/>
                <w:b/>
                <w:sz w:val="22"/>
                <w:szCs w:val="24"/>
              </w:rPr>
              <w:t>Обслуговування технічних засобів пожежної сигналізації на об’єктах:</w:t>
            </w:r>
          </w:p>
        </w:tc>
      </w:tr>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r w:rsidRPr="00DD507E">
              <w:rPr>
                <w:rFonts w:eastAsia="Calibri"/>
                <w:sz w:val="22"/>
                <w:szCs w:val="24"/>
              </w:rPr>
              <w:t>адміністративно-виробничий будинок митниці, кафе розташоване в адмінбудинку, за адресою: Волинська область Ковельський район, с. Римачі, вул. Призалізнична, 13;</w:t>
            </w:r>
          </w:p>
        </w:tc>
        <w:tc>
          <w:tcPr>
            <w:tcW w:w="2251" w:type="dxa"/>
            <w:shd w:val="clear" w:color="auto" w:fill="auto"/>
          </w:tcPr>
          <w:p w:rsidR="00DD507E" w:rsidRPr="00DD507E" w:rsidRDefault="00DD507E" w:rsidP="00DD507E">
            <w:pPr>
              <w:ind w:firstLine="0"/>
              <w:rPr>
                <w:rFonts w:eastAsia="Calibri"/>
                <w:b/>
                <w:sz w:val="22"/>
                <w:szCs w:val="24"/>
              </w:rPr>
            </w:pPr>
          </w:p>
        </w:tc>
      </w:tr>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r w:rsidRPr="00DD507E">
              <w:rPr>
                <w:rFonts w:eastAsia="Calibri"/>
                <w:sz w:val="22"/>
                <w:szCs w:val="24"/>
              </w:rPr>
              <w:t>склад конфіскатів міжнародного автомобільного пункту пропуску «Устилуг», за адресою: Волинська область Володимир-Волинський район, місто Устилуг, вулиця Левінцова, 60;</w:t>
            </w:r>
          </w:p>
        </w:tc>
        <w:tc>
          <w:tcPr>
            <w:tcW w:w="2251" w:type="dxa"/>
            <w:shd w:val="clear" w:color="auto" w:fill="auto"/>
          </w:tcPr>
          <w:p w:rsidR="00DD507E" w:rsidRPr="00DD507E" w:rsidRDefault="00DD507E" w:rsidP="00DD507E">
            <w:pPr>
              <w:ind w:firstLine="0"/>
              <w:rPr>
                <w:rFonts w:eastAsia="Calibri"/>
                <w:b/>
                <w:sz w:val="22"/>
                <w:szCs w:val="24"/>
              </w:rPr>
            </w:pPr>
          </w:p>
        </w:tc>
      </w:tr>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r w:rsidRPr="00DD507E">
              <w:rPr>
                <w:rFonts w:eastAsia="Calibri"/>
                <w:sz w:val="22"/>
                <w:szCs w:val="24"/>
              </w:rPr>
              <w:t>складські приміщення, за адресою: Волинська область, смт. Ратне, вул. 40 років Перемоги, 51а;</w:t>
            </w:r>
          </w:p>
        </w:tc>
        <w:tc>
          <w:tcPr>
            <w:tcW w:w="2251" w:type="dxa"/>
            <w:shd w:val="clear" w:color="auto" w:fill="auto"/>
          </w:tcPr>
          <w:p w:rsidR="00DD507E" w:rsidRPr="00DD507E" w:rsidRDefault="00DD507E" w:rsidP="00DD507E">
            <w:pPr>
              <w:ind w:firstLine="0"/>
              <w:rPr>
                <w:rFonts w:eastAsia="Calibri"/>
                <w:b/>
                <w:sz w:val="22"/>
                <w:szCs w:val="24"/>
              </w:rPr>
            </w:pPr>
          </w:p>
        </w:tc>
      </w:tr>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r w:rsidRPr="00DD507E">
              <w:rPr>
                <w:rFonts w:eastAsia="Calibri"/>
                <w:sz w:val="22"/>
                <w:szCs w:val="24"/>
              </w:rPr>
              <w:t xml:space="preserve">гараж на 10 боксів, за адресою: Волинська область, Любомльський </w:t>
            </w:r>
            <w:bookmarkStart w:id="1" w:name="_GoBack"/>
            <w:bookmarkEnd w:id="1"/>
            <w:r w:rsidRPr="00DD507E">
              <w:rPr>
                <w:rFonts w:eastAsia="Calibri"/>
                <w:sz w:val="22"/>
                <w:szCs w:val="24"/>
              </w:rPr>
              <w:t>район, с. Римачі, вул. Прикордонників, 27</w:t>
            </w:r>
          </w:p>
        </w:tc>
        <w:tc>
          <w:tcPr>
            <w:tcW w:w="2251" w:type="dxa"/>
            <w:shd w:val="clear" w:color="auto" w:fill="auto"/>
          </w:tcPr>
          <w:p w:rsidR="00DD507E" w:rsidRPr="00DD507E" w:rsidRDefault="00DD507E" w:rsidP="00DD507E">
            <w:pPr>
              <w:ind w:firstLine="0"/>
              <w:rPr>
                <w:rFonts w:eastAsia="Calibri"/>
                <w:sz w:val="22"/>
                <w:szCs w:val="24"/>
              </w:rPr>
            </w:pPr>
          </w:p>
        </w:tc>
      </w:tr>
      <w:tr w:rsidR="00DD507E" w:rsidRPr="00DD507E" w:rsidTr="00DD507E">
        <w:tc>
          <w:tcPr>
            <w:tcW w:w="9923" w:type="dxa"/>
            <w:gridSpan w:val="2"/>
            <w:shd w:val="clear" w:color="auto" w:fill="auto"/>
          </w:tcPr>
          <w:p w:rsidR="00DD507E" w:rsidRPr="00DD507E" w:rsidRDefault="00DD507E" w:rsidP="00DD507E">
            <w:pPr>
              <w:numPr>
                <w:ilvl w:val="0"/>
                <w:numId w:val="2"/>
              </w:numPr>
              <w:ind w:firstLine="0"/>
              <w:rPr>
                <w:rFonts w:eastAsia="Calibri"/>
                <w:b/>
                <w:sz w:val="22"/>
                <w:szCs w:val="24"/>
              </w:rPr>
            </w:pPr>
            <w:r w:rsidRPr="00DD507E">
              <w:rPr>
                <w:rFonts w:eastAsia="Calibri"/>
                <w:b/>
                <w:sz w:val="22"/>
                <w:szCs w:val="24"/>
              </w:rPr>
              <w:t>Обслуговування технічних засобів системи оповіщення про пожежу та управління евакуацією людей на об’єкті:</w:t>
            </w:r>
          </w:p>
        </w:tc>
      </w:tr>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r w:rsidRPr="00DD507E">
              <w:rPr>
                <w:rFonts w:eastAsia="Calibri"/>
                <w:sz w:val="22"/>
                <w:szCs w:val="24"/>
              </w:rPr>
              <w:t>адміністративно-виробничий будинок митниці, кафе розташоване в адмінбудинку, за адресою: Волинська область Любомльський район, с. Римачі, вул. Призалізнична, 13</w:t>
            </w:r>
          </w:p>
        </w:tc>
        <w:tc>
          <w:tcPr>
            <w:tcW w:w="2251" w:type="dxa"/>
            <w:shd w:val="clear" w:color="auto" w:fill="auto"/>
          </w:tcPr>
          <w:p w:rsidR="00DD507E" w:rsidRPr="00DD507E" w:rsidRDefault="00DD507E" w:rsidP="00DD507E">
            <w:pPr>
              <w:ind w:firstLine="0"/>
              <w:rPr>
                <w:rFonts w:eastAsia="Calibri"/>
                <w:sz w:val="22"/>
                <w:szCs w:val="24"/>
              </w:rPr>
            </w:pPr>
          </w:p>
        </w:tc>
      </w:tr>
      <w:tr w:rsidR="00DD507E" w:rsidRPr="00DD507E" w:rsidTr="00DD507E">
        <w:tc>
          <w:tcPr>
            <w:tcW w:w="9923" w:type="dxa"/>
            <w:gridSpan w:val="2"/>
            <w:shd w:val="clear" w:color="auto" w:fill="auto"/>
          </w:tcPr>
          <w:p w:rsidR="00DD507E" w:rsidRPr="00DD507E" w:rsidRDefault="00DD507E" w:rsidP="00DD507E">
            <w:pPr>
              <w:numPr>
                <w:ilvl w:val="0"/>
                <w:numId w:val="2"/>
              </w:numPr>
              <w:ind w:firstLine="0"/>
              <w:rPr>
                <w:rFonts w:eastAsia="Calibri"/>
                <w:b/>
                <w:sz w:val="22"/>
                <w:szCs w:val="24"/>
              </w:rPr>
            </w:pPr>
            <w:r w:rsidRPr="00DD507E">
              <w:rPr>
                <w:rFonts w:eastAsia="Calibri"/>
                <w:b/>
                <w:sz w:val="22"/>
                <w:szCs w:val="24"/>
              </w:rPr>
              <w:t>Пожежне спостерігання (забезпечення віддаленого цілодобового нагляду за станом пожежної автоматики об’єктів, що здійснюється шляхом приймання, обробляння та передавання тривожних сповіщень від пожежної автоматики об’єктів, що спостерігаються, та реагування на них) на об’єктах:</w:t>
            </w:r>
          </w:p>
        </w:tc>
      </w:tr>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r w:rsidRPr="00DD507E">
              <w:rPr>
                <w:rFonts w:eastAsia="Calibri"/>
                <w:sz w:val="22"/>
                <w:szCs w:val="24"/>
              </w:rPr>
              <w:t>адміністративно-виробничий будинок митниці, кафе розташоване в адмінбудинку, за адресою: Волинська область Ковельський район, с. Римачі, вул. Призалізнична, 13;</w:t>
            </w:r>
          </w:p>
        </w:tc>
        <w:tc>
          <w:tcPr>
            <w:tcW w:w="2251" w:type="dxa"/>
            <w:shd w:val="clear" w:color="auto" w:fill="auto"/>
          </w:tcPr>
          <w:p w:rsidR="00DD507E" w:rsidRPr="00DD507E" w:rsidRDefault="00DD507E" w:rsidP="00DD507E">
            <w:pPr>
              <w:ind w:firstLine="0"/>
              <w:rPr>
                <w:rFonts w:eastAsia="Calibri"/>
                <w:sz w:val="22"/>
                <w:szCs w:val="24"/>
              </w:rPr>
            </w:pPr>
          </w:p>
        </w:tc>
      </w:tr>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r w:rsidRPr="00DD507E">
              <w:rPr>
                <w:rFonts w:eastAsia="Calibri"/>
                <w:sz w:val="22"/>
                <w:szCs w:val="24"/>
              </w:rPr>
              <w:t>склад конфіскатів міжнародного автомобільного пункту пропуску «Устилуг», за адресою: Волинська область Володимир-Волинський район,  місто Устилуг, вулиця Левінцова, 60</w:t>
            </w:r>
          </w:p>
        </w:tc>
        <w:tc>
          <w:tcPr>
            <w:tcW w:w="2251" w:type="dxa"/>
            <w:shd w:val="clear" w:color="auto" w:fill="auto"/>
          </w:tcPr>
          <w:p w:rsidR="00DD507E" w:rsidRPr="00DD507E" w:rsidRDefault="00DD507E" w:rsidP="00DD507E">
            <w:pPr>
              <w:ind w:firstLine="0"/>
              <w:rPr>
                <w:rFonts w:eastAsia="Calibri"/>
                <w:sz w:val="22"/>
                <w:szCs w:val="24"/>
              </w:rPr>
            </w:pPr>
          </w:p>
        </w:tc>
      </w:tr>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r w:rsidRPr="00DD507E">
              <w:rPr>
                <w:rFonts w:eastAsia="Calibri"/>
                <w:sz w:val="22"/>
                <w:szCs w:val="24"/>
              </w:rPr>
              <w:t>складські приміщення, за адресою: Волинська область, смт. Ратне, вул. 40 років Перемоги, 51а</w:t>
            </w:r>
          </w:p>
        </w:tc>
        <w:tc>
          <w:tcPr>
            <w:tcW w:w="2251" w:type="dxa"/>
            <w:shd w:val="clear" w:color="auto" w:fill="auto"/>
          </w:tcPr>
          <w:p w:rsidR="00DD507E" w:rsidRPr="00DD507E" w:rsidRDefault="00DD507E" w:rsidP="00DD507E">
            <w:pPr>
              <w:ind w:firstLine="0"/>
              <w:rPr>
                <w:rFonts w:eastAsia="Calibri"/>
                <w:sz w:val="22"/>
                <w:szCs w:val="24"/>
              </w:rPr>
            </w:pPr>
          </w:p>
        </w:tc>
      </w:tr>
      <w:tr w:rsidR="00DD507E" w:rsidRPr="00DD507E" w:rsidTr="00DD507E">
        <w:tc>
          <w:tcPr>
            <w:tcW w:w="7672" w:type="dxa"/>
            <w:shd w:val="clear" w:color="auto" w:fill="auto"/>
          </w:tcPr>
          <w:p w:rsidR="00DD507E" w:rsidRPr="00DD507E" w:rsidRDefault="00DD507E" w:rsidP="00DD507E">
            <w:pPr>
              <w:ind w:firstLine="0"/>
              <w:rPr>
                <w:rFonts w:eastAsia="Calibri"/>
                <w:b/>
                <w:sz w:val="22"/>
                <w:szCs w:val="24"/>
              </w:rPr>
            </w:pPr>
            <w:r w:rsidRPr="00DD507E">
              <w:rPr>
                <w:rFonts w:eastAsia="Calibri"/>
                <w:b/>
                <w:sz w:val="22"/>
                <w:szCs w:val="24"/>
              </w:rPr>
              <w:t>ВСЬОГО</w:t>
            </w:r>
          </w:p>
        </w:tc>
        <w:tc>
          <w:tcPr>
            <w:tcW w:w="2251" w:type="dxa"/>
            <w:shd w:val="clear" w:color="auto" w:fill="auto"/>
          </w:tcPr>
          <w:p w:rsidR="00DD507E" w:rsidRPr="00DD507E" w:rsidRDefault="00DD507E" w:rsidP="00DD507E">
            <w:pPr>
              <w:ind w:firstLine="0"/>
              <w:rPr>
                <w:rFonts w:eastAsia="Calibri"/>
                <w:b/>
                <w:sz w:val="22"/>
                <w:szCs w:val="24"/>
              </w:rPr>
            </w:pPr>
          </w:p>
        </w:tc>
      </w:tr>
      <w:tr w:rsidR="00DD507E" w:rsidRPr="00DD507E" w:rsidTr="00DD507E">
        <w:tc>
          <w:tcPr>
            <w:tcW w:w="7672" w:type="dxa"/>
            <w:shd w:val="clear" w:color="auto" w:fill="auto"/>
          </w:tcPr>
          <w:p w:rsidR="00DD507E" w:rsidRPr="00DD507E" w:rsidRDefault="00DD507E" w:rsidP="00DD507E">
            <w:pPr>
              <w:ind w:firstLine="0"/>
              <w:rPr>
                <w:rFonts w:eastAsia="Calibri"/>
                <w:sz w:val="22"/>
                <w:szCs w:val="24"/>
              </w:rPr>
            </w:pPr>
            <w:r w:rsidRPr="00DD507E">
              <w:rPr>
                <w:rFonts w:eastAsia="Calibri"/>
                <w:sz w:val="22"/>
                <w:szCs w:val="24"/>
              </w:rPr>
              <w:t>в т.ч. ПДВ*</w:t>
            </w:r>
          </w:p>
        </w:tc>
        <w:tc>
          <w:tcPr>
            <w:tcW w:w="2251" w:type="dxa"/>
            <w:shd w:val="clear" w:color="auto" w:fill="auto"/>
          </w:tcPr>
          <w:p w:rsidR="00DD507E" w:rsidRPr="00DD507E" w:rsidRDefault="00DD507E" w:rsidP="00DD507E">
            <w:pPr>
              <w:ind w:firstLine="0"/>
              <w:rPr>
                <w:rFonts w:eastAsia="Calibri"/>
                <w:sz w:val="22"/>
                <w:szCs w:val="24"/>
              </w:rPr>
            </w:pPr>
          </w:p>
        </w:tc>
      </w:tr>
    </w:tbl>
    <w:p w:rsidR="00B23008" w:rsidRPr="00DA1BE9" w:rsidRDefault="00DD507E" w:rsidP="00B23008">
      <w:pPr>
        <w:rPr>
          <w:rFonts w:eastAsia="Calibri"/>
          <w:szCs w:val="24"/>
        </w:rPr>
      </w:pPr>
      <w:r w:rsidRPr="00865C53">
        <w:rPr>
          <w:i/>
          <w:sz w:val="24"/>
          <w:szCs w:val="24"/>
        </w:rPr>
        <w:t xml:space="preserve">*- </w:t>
      </w:r>
      <w:r>
        <w:rPr>
          <w:i/>
          <w:sz w:val="24"/>
          <w:szCs w:val="24"/>
        </w:rPr>
        <w:t xml:space="preserve">зазначається </w:t>
      </w:r>
      <w:r w:rsidRPr="00865C53">
        <w:rPr>
          <w:i/>
          <w:sz w:val="24"/>
          <w:szCs w:val="24"/>
        </w:rPr>
        <w:t>у разі</w:t>
      </w:r>
      <w:r>
        <w:rPr>
          <w:i/>
          <w:sz w:val="24"/>
          <w:szCs w:val="24"/>
        </w:rPr>
        <w:t>,</w:t>
      </w:r>
      <w:r w:rsidRPr="00865C53">
        <w:rPr>
          <w:i/>
          <w:sz w:val="24"/>
          <w:szCs w:val="24"/>
        </w:rPr>
        <w:t xml:space="preserve"> якщо учасник є платником ПДВ</w:t>
      </w:r>
    </w:p>
    <w:p w:rsidR="00B23008" w:rsidRPr="00DA1BE9" w:rsidRDefault="00B23008" w:rsidP="00B23008">
      <w:pPr>
        <w:rPr>
          <w:rFonts w:eastAsia="Calibri"/>
          <w:sz w:val="24"/>
          <w:szCs w:val="24"/>
        </w:rPr>
      </w:pPr>
      <w:r w:rsidRPr="00DA1BE9">
        <w:rPr>
          <w:rFonts w:eastAsia="Calibri"/>
          <w:sz w:val="24"/>
          <w:szCs w:val="24"/>
        </w:rPr>
        <w:lastRenderedPageBreak/>
        <w:t xml:space="preserve">1. У разі визнання нас переможцем торгів, ми візьмемо на себе зобов’язання виконати усі умови, передбачені Договором за ціною, що склалася за результатом електронного аукціону. </w:t>
      </w:r>
    </w:p>
    <w:p w:rsidR="00B23008" w:rsidRPr="00DA1BE9" w:rsidRDefault="00B23008" w:rsidP="00B23008">
      <w:pPr>
        <w:rPr>
          <w:rFonts w:eastAsia="Calibri"/>
          <w:sz w:val="24"/>
          <w:szCs w:val="24"/>
        </w:rPr>
      </w:pPr>
      <w:r w:rsidRPr="00DA1BE9">
        <w:rPr>
          <w:rFonts w:eastAsia="Calibri"/>
          <w:sz w:val="24"/>
          <w:szCs w:val="24"/>
        </w:rPr>
        <w:t>2.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23008" w:rsidRPr="00DA1BE9" w:rsidRDefault="00B23008" w:rsidP="00B23008">
      <w:pPr>
        <w:rPr>
          <w:rFonts w:eastAsia="Calibri"/>
          <w:sz w:val="24"/>
          <w:szCs w:val="24"/>
        </w:rPr>
      </w:pPr>
      <w:r w:rsidRPr="00DA1BE9">
        <w:rPr>
          <w:rFonts w:eastAsia="Calibri"/>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23008" w:rsidRPr="00610E24" w:rsidRDefault="00B23008" w:rsidP="00B23008">
      <w:pPr>
        <w:rPr>
          <w:rFonts w:eastAsia="Calibri"/>
          <w:sz w:val="24"/>
          <w:szCs w:val="24"/>
        </w:rPr>
      </w:pPr>
      <w:r w:rsidRPr="00DA1BE9">
        <w:rPr>
          <w:rFonts w:eastAsia="Calibri"/>
          <w:sz w:val="24"/>
          <w:szCs w:val="24"/>
        </w:rPr>
        <w:t xml:space="preserve">4. </w:t>
      </w:r>
      <w:r w:rsidRPr="00610E24">
        <w:rPr>
          <w:rFonts w:eastAsia="Calibri"/>
          <w:sz w:val="24"/>
          <w:szCs w:val="24"/>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w:t>
      </w:r>
    </w:p>
    <w:p w:rsidR="00B23008" w:rsidRPr="00DA1BE9" w:rsidRDefault="00B23008" w:rsidP="00B23008">
      <w:pPr>
        <w:rPr>
          <w:rFonts w:eastAsia="Calibri"/>
          <w:sz w:val="24"/>
          <w:szCs w:val="24"/>
        </w:rPr>
      </w:pPr>
      <w:r w:rsidRPr="00DA1BE9">
        <w:rPr>
          <w:rFonts w:eastAsia="Calibri"/>
          <w:sz w:val="24"/>
          <w:szCs w:val="24"/>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rsidR="00B23008" w:rsidRDefault="00B23008" w:rsidP="00B23008">
      <w:pPr>
        <w:rPr>
          <w:rFonts w:eastAsia="Calibri"/>
          <w:b/>
          <w:i/>
          <w:sz w:val="24"/>
          <w:szCs w:val="24"/>
        </w:rPr>
      </w:pPr>
    </w:p>
    <w:p w:rsidR="00B23008" w:rsidRPr="00DA1BE9" w:rsidRDefault="00B23008" w:rsidP="00B23008">
      <w:pPr>
        <w:rPr>
          <w:rFonts w:eastAsia="Calibri"/>
          <w:sz w:val="24"/>
          <w:szCs w:val="24"/>
        </w:rPr>
      </w:pPr>
      <w:r w:rsidRPr="00DA1BE9">
        <w:rPr>
          <w:rFonts w:eastAsia="Calibri"/>
          <w:b/>
          <w:i/>
          <w:sz w:val="24"/>
          <w:szCs w:val="24"/>
        </w:rPr>
        <w:t xml:space="preserve">Примітка </w:t>
      </w:r>
      <w:r w:rsidRPr="00DA1BE9">
        <w:rPr>
          <w:rFonts w:eastAsia="Calibri"/>
          <w:i/>
          <w:sz w:val="24"/>
          <w:szCs w:val="24"/>
        </w:rPr>
        <w:t xml:space="preserve">– загальна ціна тендерної пропозиції зазначається з двома знаками після коми. </w:t>
      </w:r>
    </w:p>
    <w:p w:rsidR="00B23008" w:rsidRPr="00DA1BE9" w:rsidRDefault="00B23008" w:rsidP="00B23008">
      <w:pPr>
        <w:rPr>
          <w:rFonts w:eastAsia="Calibri"/>
          <w:sz w:val="24"/>
          <w:szCs w:val="24"/>
        </w:rPr>
      </w:pPr>
    </w:p>
    <w:tbl>
      <w:tblPr>
        <w:tblW w:w="10024" w:type="dxa"/>
        <w:tblInd w:w="-115" w:type="dxa"/>
        <w:tblLook w:val="0400" w:firstRow="0" w:lastRow="0" w:firstColumn="0" w:lastColumn="0" w:noHBand="0" w:noVBand="1"/>
      </w:tblPr>
      <w:tblGrid>
        <w:gridCol w:w="3342"/>
        <w:gridCol w:w="3341"/>
        <w:gridCol w:w="3341"/>
      </w:tblGrid>
      <w:tr w:rsidR="00DD507E" w:rsidRPr="009A053D" w:rsidTr="008B46AB">
        <w:tc>
          <w:tcPr>
            <w:tcW w:w="3342" w:type="dxa"/>
          </w:tcPr>
          <w:p w:rsidR="00DD507E" w:rsidRPr="009A053D" w:rsidRDefault="00DD507E" w:rsidP="008B46AB">
            <w:pPr>
              <w:shd w:val="clear" w:color="auto" w:fill="FFFFFF"/>
              <w:ind w:firstLine="0"/>
              <w:jc w:val="center"/>
              <w:rPr>
                <w:rFonts w:eastAsia="Calibri"/>
                <w:color w:val="000000"/>
                <w:sz w:val="24"/>
                <w:szCs w:val="24"/>
              </w:rPr>
            </w:pPr>
            <w:r w:rsidRPr="009A053D">
              <w:rPr>
                <w:rFonts w:eastAsia="Calibri"/>
                <w:color w:val="000000"/>
                <w:sz w:val="24"/>
                <w:szCs w:val="24"/>
              </w:rPr>
              <w:t>________________________</w:t>
            </w:r>
          </w:p>
        </w:tc>
        <w:tc>
          <w:tcPr>
            <w:tcW w:w="3341" w:type="dxa"/>
          </w:tcPr>
          <w:p w:rsidR="00DD507E" w:rsidRPr="009A053D" w:rsidRDefault="00DD507E" w:rsidP="008B46AB">
            <w:pPr>
              <w:shd w:val="clear" w:color="auto" w:fill="FFFFFF"/>
              <w:ind w:firstLine="0"/>
              <w:jc w:val="center"/>
              <w:rPr>
                <w:rFonts w:eastAsia="Calibri"/>
                <w:color w:val="000000"/>
                <w:sz w:val="24"/>
                <w:szCs w:val="24"/>
              </w:rPr>
            </w:pPr>
            <w:r w:rsidRPr="009A053D">
              <w:rPr>
                <w:rFonts w:eastAsia="Calibri"/>
                <w:color w:val="000000"/>
                <w:sz w:val="24"/>
                <w:szCs w:val="24"/>
              </w:rPr>
              <w:t>________________________</w:t>
            </w:r>
          </w:p>
        </w:tc>
        <w:tc>
          <w:tcPr>
            <w:tcW w:w="3341" w:type="dxa"/>
          </w:tcPr>
          <w:p w:rsidR="00DD507E" w:rsidRPr="009A053D" w:rsidRDefault="00DD507E" w:rsidP="008B46AB">
            <w:pPr>
              <w:shd w:val="clear" w:color="auto" w:fill="FFFFFF"/>
              <w:ind w:firstLine="0"/>
              <w:jc w:val="center"/>
              <w:rPr>
                <w:rFonts w:eastAsia="Calibri"/>
                <w:color w:val="000000"/>
                <w:sz w:val="24"/>
                <w:szCs w:val="24"/>
              </w:rPr>
            </w:pPr>
            <w:r w:rsidRPr="009A053D">
              <w:rPr>
                <w:rFonts w:eastAsia="Calibri"/>
                <w:color w:val="000000"/>
                <w:sz w:val="24"/>
                <w:szCs w:val="24"/>
              </w:rPr>
              <w:t>________________________</w:t>
            </w:r>
          </w:p>
        </w:tc>
      </w:tr>
      <w:tr w:rsidR="00DD507E" w:rsidRPr="009A053D" w:rsidTr="008B46AB">
        <w:tc>
          <w:tcPr>
            <w:tcW w:w="3342" w:type="dxa"/>
          </w:tcPr>
          <w:p w:rsidR="00DD507E" w:rsidRPr="009A053D" w:rsidRDefault="00DD507E" w:rsidP="008B46AB">
            <w:pPr>
              <w:shd w:val="clear" w:color="auto" w:fill="FFFFFF"/>
              <w:ind w:firstLine="0"/>
              <w:jc w:val="center"/>
              <w:rPr>
                <w:rFonts w:eastAsia="Calibri"/>
                <w:color w:val="000000"/>
                <w:sz w:val="24"/>
                <w:szCs w:val="24"/>
              </w:rPr>
            </w:pPr>
            <w:r w:rsidRPr="009A053D">
              <w:rPr>
                <w:rFonts w:eastAsia="Calibri"/>
                <w:i/>
                <w:color w:val="000000"/>
                <w:sz w:val="24"/>
                <w:szCs w:val="24"/>
              </w:rPr>
              <w:t>посада уповноваженої особи Учасника</w:t>
            </w:r>
          </w:p>
        </w:tc>
        <w:tc>
          <w:tcPr>
            <w:tcW w:w="3341" w:type="dxa"/>
          </w:tcPr>
          <w:p w:rsidR="00DD507E" w:rsidRPr="009A053D" w:rsidRDefault="00DD507E" w:rsidP="008B46AB">
            <w:pPr>
              <w:shd w:val="clear" w:color="auto" w:fill="FFFFFF"/>
              <w:ind w:firstLine="0"/>
              <w:jc w:val="center"/>
              <w:rPr>
                <w:rFonts w:eastAsia="Calibri"/>
                <w:color w:val="000000"/>
                <w:sz w:val="24"/>
                <w:szCs w:val="24"/>
              </w:rPr>
            </w:pPr>
            <w:r w:rsidRPr="009A053D">
              <w:rPr>
                <w:rFonts w:eastAsia="Calibri"/>
                <w:i/>
                <w:color w:val="000000"/>
                <w:sz w:val="24"/>
                <w:szCs w:val="24"/>
              </w:rPr>
              <w:t>підпис та печатка (за наявності)</w:t>
            </w:r>
          </w:p>
        </w:tc>
        <w:tc>
          <w:tcPr>
            <w:tcW w:w="3341" w:type="dxa"/>
          </w:tcPr>
          <w:p w:rsidR="00DD507E" w:rsidRPr="009A053D" w:rsidRDefault="00DD507E" w:rsidP="008B46AB">
            <w:pPr>
              <w:shd w:val="clear" w:color="auto" w:fill="FFFFFF"/>
              <w:ind w:firstLine="0"/>
              <w:jc w:val="center"/>
              <w:rPr>
                <w:rFonts w:eastAsia="Calibri"/>
                <w:color w:val="000000"/>
                <w:sz w:val="24"/>
                <w:szCs w:val="24"/>
              </w:rPr>
            </w:pPr>
            <w:r w:rsidRPr="009A053D">
              <w:rPr>
                <w:rFonts w:eastAsia="Calibri"/>
                <w:i/>
                <w:color w:val="000000"/>
                <w:sz w:val="24"/>
                <w:szCs w:val="24"/>
              </w:rPr>
              <w:t>прізвище, ініціали</w:t>
            </w:r>
          </w:p>
        </w:tc>
      </w:tr>
    </w:tbl>
    <w:p w:rsidR="00B23008" w:rsidRPr="000256BA" w:rsidRDefault="00B23008" w:rsidP="00DD507E">
      <w:pPr>
        <w:jc w:val="center"/>
        <w:rPr>
          <w:rFonts w:eastAsia="Calibri"/>
          <w:b/>
          <w:bCs/>
          <w:i/>
          <w:sz w:val="24"/>
          <w:szCs w:val="24"/>
        </w:rPr>
      </w:pPr>
    </w:p>
    <w:sectPr w:rsidR="00B23008" w:rsidRPr="000256BA" w:rsidSect="00DD507E">
      <w:pgSz w:w="11906" w:h="16838"/>
      <w:pgMar w:top="568"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nsid w:val="4F425A4C"/>
    <w:multiLevelType w:val="hybridMultilevel"/>
    <w:tmpl w:val="2D7E9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3C"/>
    <w:rsid w:val="001A63CF"/>
    <w:rsid w:val="002B522C"/>
    <w:rsid w:val="0088523C"/>
    <w:rsid w:val="00B23008"/>
    <w:rsid w:val="00B95CF9"/>
    <w:rsid w:val="00DD507E"/>
    <w:rsid w:val="00EE58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801"/>
    <w:pPr>
      <w:ind w:firstLine="0"/>
      <w:jc w:val="left"/>
    </w:pPr>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5CF9"/>
    <w:rPr>
      <w:rFonts w:ascii="Tahoma" w:hAnsi="Tahoma" w:cs="Tahoma"/>
      <w:sz w:val="16"/>
      <w:szCs w:val="16"/>
    </w:rPr>
  </w:style>
  <w:style w:type="character" w:customStyle="1" w:styleId="a5">
    <w:name w:val="Текст выноски Знак"/>
    <w:basedOn w:val="a0"/>
    <w:link w:val="a4"/>
    <w:uiPriority w:val="99"/>
    <w:semiHidden/>
    <w:rsid w:val="00B95CF9"/>
    <w:rPr>
      <w:rFonts w:ascii="Tahoma" w:hAnsi="Tahoma" w:cs="Tahoma"/>
      <w:sz w:val="16"/>
      <w:szCs w:val="16"/>
    </w:rPr>
  </w:style>
  <w:style w:type="paragraph" w:styleId="a6">
    <w:name w:val="List Paragraph"/>
    <w:aliases w:val="EBRD List,Список уровня 2,название табл/рис,заголовок 1.1,List Paragraph,Bullet Number,Bullet 1,Use Case List Paragraph,lp1,List Paragraph1,lp11,List Paragraph11"/>
    <w:basedOn w:val="a"/>
    <w:link w:val="a7"/>
    <w:uiPriority w:val="34"/>
    <w:qFormat/>
    <w:rsid w:val="00B23008"/>
    <w:pPr>
      <w:spacing w:after="160" w:line="259" w:lineRule="auto"/>
      <w:ind w:left="720" w:firstLine="0"/>
      <w:contextualSpacing/>
      <w:jc w:val="left"/>
    </w:pPr>
    <w:rPr>
      <w:rFonts w:asciiTheme="minorHAnsi" w:hAnsiTheme="minorHAnsi" w:cstheme="minorBidi"/>
      <w:sz w:val="22"/>
      <w:szCs w:val="22"/>
      <w:lang w:val="ru-RU"/>
    </w:rPr>
  </w:style>
  <w:style w:type="character" w:customStyle="1" w:styleId="a7">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6"/>
    <w:uiPriority w:val="34"/>
    <w:locked/>
    <w:rsid w:val="00B23008"/>
    <w:rPr>
      <w:rFonts w:ascii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801"/>
    <w:pPr>
      <w:ind w:firstLine="0"/>
      <w:jc w:val="left"/>
    </w:pPr>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5CF9"/>
    <w:rPr>
      <w:rFonts w:ascii="Tahoma" w:hAnsi="Tahoma" w:cs="Tahoma"/>
      <w:sz w:val="16"/>
      <w:szCs w:val="16"/>
    </w:rPr>
  </w:style>
  <w:style w:type="character" w:customStyle="1" w:styleId="a5">
    <w:name w:val="Текст выноски Знак"/>
    <w:basedOn w:val="a0"/>
    <w:link w:val="a4"/>
    <w:uiPriority w:val="99"/>
    <w:semiHidden/>
    <w:rsid w:val="00B95CF9"/>
    <w:rPr>
      <w:rFonts w:ascii="Tahoma" w:hAnsi="Tahoma" w:cs="Tahoma"/>
      <w:sz w:val="16"/>
      <w:szCs w:val="16"/>
    </w:rPr>
  </w:style>
  <w:style w:type="paragraph" w:styleId="a6">
    <w:name w:val="List Paragraph"/>
    <w:aliases w:val="EBRD List,Список уровня 2,название табл/рис,заголовок 1.1,List Paragraph,Bullet Number,Bullet 1,Use Case List Paragraph,lp1,List Paragraph1,lp11,List Paragraph11"/>
    <w:basedOn w:val="a"/>
    <w:link w:val="a7"/>
    <w:uiPriority w:val="34"/>
    <w:qFormat/>
    <w:rsid w:val="00B23008"/>
    <w:pPr>
      <w:spacing w:after="160" w:line="259" w:lineRule="auto"/>
      <w:ind w:left="720" w:firstLine="0"/>
      <w:contextualSpacing/>
      <w:jc w:val="left"/>
    </w:pPr>
    <w:rPr>
      <w:rFonts w:asciiTheme="minorHAnsi" w:hAnsiTheme="minorHAnsi" w:cstheme="minorBidi"/>
      <w:sz w:val="22"/>
      <w:szCs w:val="22"/>
      <w:lang w:val="ru-RU"/>
    </w:rPr>
  </w:style>
  <w:style w:type="character" w:customStyle="1" w:styleId="a7">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6"/>
    <w:uiPriority w:val="34"/>
    <w:locked/>
    <w:rsid w:val="00B23008"/>
    <w:rPr>
      <w:rFonts w:ascii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3001</Words>
  <Characters>1712</Characters>
  <Application>Microsoft Office Word</Application>
  <DocSecurity>0</DocSecurity>
  <Lines>14</Lines>
  <Paragraphs>9</Paragraphs>
  <ScaleCrop>false</ScaleCrop>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 Ольга Дмитрівна</dc:creator>
  <cp:keywords/>
  <dc:description/>
  <cp:lastModifiedBy>Хомяк Ольга Дмитрівна</cp:lastModifiedBy>
  <cp:revision>5</cp:revision>
  <cp:lastPrinted>2024-01-31T12:33:00Z</cp:lastPrinted>
  <dcterms:created xsi:type="dcterms:W3CDTF">2024-01-30T14:14:00Z</dcterms:created>
  <dcterms:modified xsi:type="dcterms:W3CDTF">2024-02-02T09:05:00Z</dcterms:modified>
</cp:coreProperties>
</file>