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5650"/>
      </w:tblGrid>
      <w:tr w:rsidR="00590ED7" w:rsidRPr="007D6139" w:rsidTr="00F5688C">
        <w:tc>
          <w:tcPr>
            <w:tcW w:w="5650" w:type="dxa"/>
            <w:shd w:val="clear" w:color="auto" w:fill="auto"/>
          </w:tcPr>
          <w:p w:rsidR="00590ED7" w:rsidRPr="00590ED7" w:rsidRDefault="00590ED7" w:rsidP="00590ED7">
            <w:pPr>
              <w:ind w:right="-6507"/>
              <w:rPr>
                <w:rFonts w:ascii="Times New Roman" w:hAnsi="Times New Roman" w:cs="Times New Roman"/>
                <w:sz w:val="24"/>
                <w:szCs w:val="24"/>
              </w:rPr>
            </w:pPr>
            <w:r w:rsidRPr="00590ED7">
              <w:rPr>
                <w:rFonts w:ascii="Times New Roman" w:hAnsi="Times New Roman" w:cs="Times New Roman"/>
                <w:bCs/>
                <w:sz w:val="24"/>
                <w:szCs w:val="24"/>
              </w:rPr>
              <w:t>ЗАТВЕРДЖЕНО</w:t>
            </w:r>
          </w:p>
        </w:tc>
      </w:tr>
      <w:tr w:rsidR="00590ED7" w:rsidRPr="007D6139" w:rsidTr="00F5688C">
        <w:trPr>
          <w:trHeight w:val="912"/>
        </w:trPr>
        <w:tc>
          <w:tcPr>
            <w:tcW w:w="5650" w:type="dxa"/>
            <w:shd w:val="clear" w:color="auto" w:fill="auto"/>
          </w:tcPr>
          <w:p w:rsidR="00590ED7" w:rsidRPr="00590ED7" w:rsidRDefault="00590ED7" w:rsidP="00590ED7">
            <w:pPr>
              <w:ind w:right="-6507"/>
              <w:rPr>
                <w:rFonts w:ascii="Times New Roman" w:hAnsi="Times New Roman" w:cs="Times New Roman"/>
                <w:bCs/>
                <w:sz w:val="24"/>
                <w:szCs w:val="24"/>
              </w:rPr>
            </w:pPr>
            <w:r w:rsidRPr="00590ED7">
              <w:rPr>
                <w:rFonts w:ascii="Times New Roman" w:hAnsi="Times New Roman" w:cs="Times New Roman"/>
                <w:bCs/>
                <w:sz w:val="24"/>
                <w:szCs w:val="24"/>
              </w:rPr>
              <w:t xml:space="preserve">Протокол  Уповноваженої особи  </w:t>
            </w:r>
          </w:p>
          <w:p w:rsidR="00590ED7" w:rsidRPr="00590ED7" w:rsidRDefault="00590ED7" w:rsidP="00590ED7">
            <w:pPr>
              <w:ind w:right="-6507"/>
              <w:rPr>
                <w:rFonts w:ascii="Times New Roman" w:hAnsi="Times New Roman" w:cs="Times New Roman"/>
                <w:bCs/>
                <w:sz w:val="24"/>
                <w:szCs w:val="24"/>
              </w:rPr>
            </w:pPr>
            <w:r w:rsidRPr="00590ED7">
              <w:rPr>
                <w:rFonts w:ascii="Times New Roman" w:hAnsi="Times New Roman" w:cs="Times New Roman"/>
                <w:bCs/>
                <w:sz w:val="24"/>
                <w:szCs w:val="24"/>
              </w:rPr>
              <w:t>від 04 грудня 2023 року</w:t>
            </w:r>
          </w:p>
          <w:p w:rsidR="00590ED7" w:rsidRPr="00590ED7" w:rsidRDefault="00590ED7" w:rsidP="00590ED7">
            <w:pPr>
              <w:ind w:right="-6507" w:firstLine="1104"/>
              <w:rPr>
                <w:rFonts w:ascii="Times New Roman" w:hAnsi="Times New Roman" w:cs="Times New Roman"/>
                <w:sz w:val="24"/>
                <w:szCs w:val="24"/>
              </w:rPr>
            </w:pPr>
          </w:p>
        </w:tc>
      </w:tr>
    </w:tbl>
    <w:p w:rsidR="00981301" w:rsidRPr="008D032A" w:rsidRDefault="00981301" w:rsidP="00921394">
      <w:pPr>
        <w:ind w:left="1069" w:hanging="360"/>
        <w:jc w:val="both"/>
        <w:rPr>
          <w:sz w:val="24"/>
          <w:szCs w:val="24"/>
        </w:rPr>
      </w:pPr>
    </w:p>
    <w:p w:rsidR="00981301" w:rsidRPr="008D032A" w:rsidRDefault="00981301" w:rsidP="00E92702">
      <w:pPr>
        <w:pStyle w:val="a3"/>
        <w:ind w:left="1069"/>
        <w:jc w:val="center"/>
        <w:rPr>
          <w:b/>
        </w:rPr>
      </w:pPr>
      <w:r w:rsidRPr="008D032A">
        <w:rPr>
          <w:b/>
        </w:rPr>
        <w:t>ПЕРЕЛІК ЗМІН, ВНЕСЕНИХ ДО ТЕНДЕРНОЇ ДОКУМЕНТАЦІЇ</w:t>
      </w:r>
    </w:p>
    <w:p w:rsidR="00B12B42" w:rsidRPr="008D032A" w:rsidRDefault="00B12B42" w:rsidP="00E92702">
      <w:pPr>
        <w:pStyle w:val="a3"/>
        <w:ind w:left="1069"/>
        <w:jc w:val="center"/>
        <w:rPr>
          <w:b/>
        </w:rPr>
      </w:pPr>
    </w:p>
    <w:p w:rsidR="00E92702" w:rsidRPr="008D032A" w:rsidRDefault="00981301" w:rsidP="00E92702">
      <w:pPr>
        <w:spacing w:after="0" w:line="240" w:lineRule="auto"/>
        <w:ind w:right="340"/>
        <w:jc w:val="center"/>
        <w:rPr>
          <w:rFonts w:ascii="Times New Roman" w:hAnsi="Times New Roman" w:cs="Times New Roman"/>
          <w:b/>
          <w:sz w:val="24"/>
          <w:szCs w:val="24"/>
        </w:rPr>
      </w:pPr>
      <w:r w:rsidRPr="008D032A">
        <w:rPr>
          <w:rFonts w:ascii="Times New Roman" w:hAnsi="Times New Roman" w:cs="Times New Roman"/>
          <w:b/>
          <w:sz w:val="24"/>
          <w:szCs w:val="24"/>
        </w:rPr>
        <w:t>на закупівлю робіт</w:t>
      </w:r>
      <w:r w:rsidR="00E92702" w:rsidRPr="008D032A">
        <w:rPr>
          <w:rFonts w:ascii="Times New Roman" w:hAnsi="Times New Roman" w:cs="Times New Roman"/>
          <w:b/>
          <w:sz w:val="24"/>
          <w:szCs w:val="24"/>
        </w:rPr>
        <w:t xml:space="preserve"> «</w:t>
      </w:r>
      <w:r w:rsidR="00E92702" w:rsidRPr="008D032A">
        <w:rPr>
          <w:rFonts w:ascii="Times New Roman" w:hAnsi="Times New Roman" w:cs="Times New Roman"/>
          <w:b/>
          <w:sz w:val="24"/>
          <w:szCs w:val="24"/>
        </w:rPr>
        <w:t>Реконструкція підвального приміщення з облаштуванням окремого входу Бориспільського ліцею "ОСНОВА"</w:t>
      </w:r>
    </w:p>
    <w:p w:rsidR="00981301" w:rsidRPr="008D032A" w:rsidRDefault="00E92702" w:rsidP="00E92702">
      <w:pPr>
        <w:pStyle w:val="a3"/>
        <w:ind w:left="1069"/>
        <w:jc w:val="center"/>
        <w:rPr>
          <w:rFonts w:eastAsia="Calibri"/>
          <w:b/>
          <w:lang w:eastAsia="en-US"/>
        </w:rPr>
      </w:pPr>
      <w:r w:rsidRPr="008D032A">
        <w:rPr>
          <w:b/>
        </w:rPr>
        <w:t>Бориспільської  міської ради Київської області по вул. Соборна, 3 в м. Бориспіль Київської області</w:t>
      </w:r>
      <w:r w:rsidR="00B12B42" w:rsidRPr="008D032A">
        <w:rPr>
          <w:rFonts w:eastAsia="Calibri"/>
          <w:b/>
          <w:lang w:eastAsia="en-US"/>
        </w:rPr>
        <w:t xml:space="preserve"> </w:t>
      </w:r>
      <w:r w:rsidRPr="008D032A">
        <w:rPr>
          <w:rFonts w:eastAsia="Calibri"/>
          <w:b/>
          <w:lang w:eastAsia="en-US"/>
        </w:rPr>
        <w:t xml:space="preserve">ДК 021:2015 (CPV) 45454000-4 </w:t>
      </w:r>
      <w:r w:rsidRPr="008D032A">
        <w:rPr>
          <w:rFonts w:eastAsia="Calibri"/>
          <w:b/>
          <w:lang w:eastAsia="en-US"/>
        </w:rPr>
        <w:t>–</w:t>
      </w:r>
      <w:r w:rsidRPr="008D032A">
        <w:rPr>
          <w:rFonts w:eastAsia="Calibri"/>
          <w:b/>
          <w:lang w:eastAsia="en-US"/>
        </w:rPr>
        <w:t xml:space="preserve"> Реконструкція</w:t>
      </w:r>
    </w:p>
    <w:p w:rsidR="00E92702" w:rsidRPr="008D032A" w:rsidRDefault="00E92702" w:rsidP="00E92702">
      <w:pPr>
        <w:pStyle w:val="a3"/>
        <w:ind w:left="1069"/>
        <w:jc w:val="center"/>
        <w:rPr>
          <w:b/>
        </w:rPr>
      </w:pPr>
    </w:p>
    <w:p w:rsidR="00806E43" w:rsidRPr="008D032A" w:rsidRDefault="00806E43" w:rsidP="00981301">
      <w:pPr>
        <w:pStyle w:val="a3"/>
        <w:numPr>
          <w:ilvl w:val="0"/>
          <w:numId w:val="2"/>
        </w:numPr>
        <w:jc w:val="both"/>
        <w:rPr>
          <w:bCs/>
        </w:rPr>
      </w:pPr>
      <w:r w:rsidRPr="008D032A">
        <w:rPr>
          <w:bCs/>
        </w:rPr>
        <w:t>Абзаци</w:t>
      </w:r>
      <w:r w:rsidRPr="008D032A">
        <w:rPr>
          <w:bCs/>
        </w:rPr>
        <w:t xml:space="preserve"> 2 і 3  </w:t>
      </w:r>
      <w:proofErr w:type="spellStart"/>
      <w:r w:rsidRPr="008D032A">
        <w:rPr>
          <w:bCs/>
        </w:rPr>
        <w:t>п.п</w:t>
      </w:r>
      <w:proofErr w:type="spellEnd"/>
      <w:r w:rsidRPr="008D032A">
        <w:rPr>
          <w:bCs/>
        </w:rPr>
        <w:t xml:space="preserve">. 8.  п. 1 розділу ІІІ тендерної документації </w:t>
      </w:r>
      <w:r w:rsidRPr="008D032A">
        <w:rPr>
          <w:bCs/>
        </w:rPr>
        <w:t xml:space="preserve">викладено </w:t>
      </w:r>
      <w:r w:rsidRPr="008D032A">
        <w:rPr>
          <w:bCs/>
        </w:rPr>
        <w:t xml:space="preserve">у новій редакції, а саме: </w:t>
      </w:r>
    </w:p>
    <w:p w:rsidR="00806E43" w:rsidRPr="008D032A" w:rsidRDefault="00806E43" w:rsidP="00921394">
      <w:pPr>
        <w:pStyle w:val="a3"/>
        <w:ind w:left="0" w:firstLine="709"/>
        <w:jc w:val="both"/>
        <w:rPr>
          <w:bCs/>
        </w:rPr>
      </w:pPr>
      <w:r w:rsidRPr="008D032A">
        <w:rPr>
          <w:bCs/>
        </w:rPr>
        <w:t>«8. Інші документи (з урахуванням абзацу першого частини третьої статті 22 Закону):</w:t>
      </w:r>
    </w:p>
    <w:p w:rsidR="00806E43" w:rsidRPr="008D032A" w:rsidRDefault="00806E43" w:rsidP="00921394">
      <w:pPr>
        <w:pStyle w:val="a3"/>
        <w:ind w:left="0" w:firstLine="709"/>
        <w:jc w:val="both"/>
        <w:rPr>
          <w:bCs/>
        </w:rPr>
      </w:pPr>
      <w:r w:rsidRPr="008D032A">
        <w:rPr>
          <w:bCs/>
        </w:rPr>
        <w:t>- Ліцензії учасника на виконання усіх видів робіт, передбачених технічним завданням, що наведене в Додатку 3 до тендерної документації. Якщо учасник не має ліцензій у паперовій формі – надати довідку в довільній формі, яка містить відомості про рішення органу ліцензування щодо наявності у суб’єкта господарювання права на провадження визначеного ним виду господарської діяльності; або рішення органу, уповноваженого на видачу такої ліцензії, про видачу відповідної ліцензії. Відповідні документи учасника можуть не надаватися на види робіт, які будуть виконуватись субпідрядником/співвиконавцем (у такому випадку надається передбачений цим підпунктом документ субпідрядника/співвиконавця щодо робіт, на виконання яких його залучають).</w:t>
      </w:r>
    </w:p>
    <w:p w:rsidR="00806E43" w:rsidRPr="008D032A" w:rsidRDefault="00806E43" w:rsidP="00921394">
      <w:pPr>
        <w:pStyle w:val="a3"/>
        <w:ind w:left="0" w:firstLine="709"/>
        <w:jc w:val="both"/>
        <w:rPr>
          <w:bCs/>
        </w:rPr>
      </w:pPr>
      <w:r w:rsidRPr="008D032A">
        <w:rPr>
          <w:bCs/>
        </w:rPr>
        <w:t>- у разі залучення до виконання робіт по проекту стороннього суб'єкта господарювання (субпідрядної організації), Учасник надає довідку, за формою згідно додатку 4, з переліком субпідрядних організацій, які будуть залучені до виконання робіт з обов’язковим наданням ліцензії субпідрядника на виконання робіт, щодо яких його залучають, а у разі відсутності ліцензії у паперовій формі – довідки в довільній формі, які містять відомості про рішення органу ліцензування щодо наявності у суб’єкта господарювання права на провадження визначеного ним виду господарської діяльності; або рішення органу, уповноваженого на видачу такої ліцензії, про видачу відповідної ліцензії».</w:t>
      </w:r>
    </w:p>
    <w:p w:rsidR="006656CC" w:rsidRPr="008D032A" w:rsidRDefault="006656CC" w:rsidP="00921394">
      <w:pPr>
        <w:spacing w:after="0" w:line="240" w:lineRule="auto"/>
        <w:jc w:val="both"/>
        <w:rPr>
          <w:rFonts w:ascii="Times New Roman" w:hAnsi="Times New Roman" w:cs="Times New Roman"/>
          <w:sz w:val="24"/>
          <w:szCs w:val="24"/>
        </w:rPr>
      </w:pPr>
    </w:p>
    <w:p w:rsidR="00A63A4E" w:rsidRPr="008D032A" w:rsidRDefault="00A63A4E" w:rsidP="00981301">
      <w:pPr>
        <w:pStyle w:val="a3"/>
        <w:numPr>
          <w:ilvl w:val="0"/>
          <w:numId w:val="2"/>
        </w:numPr>
        <w:jc w:val="both"/>
        <w:rPr>
          <w:bCs/>
        </w:rPr>
      </w:pPr>
      <w:r w:rsidRPr="008D032A">
        <w:rPr>
          <w:bCs/>
        </w:rPr>
        <w:t>Підпункт</w:t>
      </w:r>
      <w:r w:rsidR="00835A86" w:rsidRPr="008D032A">
        <w:rPr>
          <w:bCs/>
        </w:rPr>
        <w:t xml:space="preserve"> 5.3. п. 5 розділу ІІІ тендерної документації </w:t>
      </w:r>
      <w:r w:rsidRPr="008D032A">
        <w:rPr>
          <w:bCs/>
        </w:rPr>
        <w:t xml:space="preserve">викладено </w:t>
      </w:r>
      <w:r w:rsidR="00835A86" w:rsidRPr="008D032A">
        <w:rPr>
          <w:bCs/>
        </w:rPr>
        <w:t xml:space="preserve">у новій редакції, а саме: </w:t>
      </w:r>
    </w:p>
    <w:p w:rsidR="00835A86" w:rsidRPr="008D032A" w:rsidRDefault="00835A86" w:rsidP="00921394">
      <w:pPr>
        <w:spacing w:after="0" w:line="240" w:lineRule="auto"/>
        <w:ind w:firstLine="709"/>
        <w:jc w:val="both"/>
        <w:rPr>
          <w:rFonts w:ascii="Times New Roman" w:hAnsi="Times New Roman" w:cs="Times New Roman"/>
          <w:bCs/>
          <w:sz w:val="24"/>
          <w:szCs w:val="24"/>
        </w:rPr>
      </w:pPr>
      <w:r w:rsidRPr="008D032A">
        <w:rPr>
          <w:rFonts w:ascii="Times New Roman" w:hAnsi="Times New Roman" w:cs="Times New Roman"/>
          <w:bCs/>
          <w:sz w:val="24"/>
          <w:szCs w:val="24"/>
        </w:rPr>
        <w:t>«5.3. Наявність документально підтвердженого відповідного досвіду виконання аналогічних договорів:</w:t>
      </w:r>
    </w:p>
    <w:p w:rsidR="00835A86" w:rsidRPr="008D032A" w:rsidRDefault="00835A86" w:rsidP="00921394">
      <w:pPr>
        <w:spacing w:after="0" w:line="240" w:lineRule="auto"/>
        <w:ind w:firstLine="709"/>
        <w:jc w:val="both"/>
        <w:rPr>
          <w:rFonts w:ascii="Times New Roman" w:hAnsi="Times New Roman" w:cs="Times New Roman"/>
          <w:bCs/>
          <w:sz w:val="24"/>
          <w:szCs w:val="24"/>
        </w:rPr>
      </w:pPr>
      <w:r w:rsidRPr="008D032A">
        <w:rPr>
          <w:rFonts w:ascii="Times New Roman" w:hAnsi="Times New Roman" w:cs="Times New Roman"/>
          <w:bCs/>
          <w:sz w:val="24"/>
          <w:szCs w:val="24"/>
        </w:rPr>
        <w:t xml:space="preserve">5.3.1. Інформаційну довідку про виконання аналогічних договорів згідно Додатку 7 цієї документації, а також підтверджуючі наявність </w:t>
      </w:r>
      <w:r w:rsidR="00A63A4E" w:rsidRPr="008D032A">
        <w:rPr>
          <w:rFonts w:ascii="Times New Roman" w:hAnsi="Times New Roman" w:cs="Times New Roman"/>
          <w:bCs/>
          <w:sz w:val="24"/>
          <w:szCs w:val="24"/>
        </w:rPr>
        <w:t xml:space="preserve">такого досвіду </w:t>
      </w:r>
      <w:r w:rsidRPr="008D032A">
        <w:rPr>
          <w:rFonts w:ascii="Times New Roman" w:hAnsi="Times New Roman" w:cs="Times New Roman"/>
          <w:bCs/>
          <w:sz w:val="24"/>
          <w:szCs w:val="24"/>
        </w:rPr>
        <w:t>документи, передбачені Додатком 7 цієї документації.</w:t>
      </w:r>
    </w:p>
    <w:p w:rsidR="00835A86" w:rsidRPr="008D032A" w:rsidRDefault="00835A86" w:rsidP="00921394">
      <w:pPr>
        <w:spacing w:after="0" w:line="240" w:lineRule="auto"/>
        <w:ind w:firstLine="709"/>
        <w:jc w:val="both"/>
        <w:rPr>
          <w:rFonts w:ascii="Times New Roman" w:hAnsi="Times New Roman" w:cs="Times New Roman"/>
          <w:bCs/>
          <w:sz w:val="24"/>
          <w:szCs w:val="24"/>
        </w:rPr>
      </w:pPr>
      <w:r w:rsidRPr="008D032A">
        <w:rPr>
          <w:rFonts w:ascii="Times New Roman" w:hAnsi="Times New Roman" w:cs="Times New Roman"/>
          <w:bCs/>
          <w:sz w:val="24"/>
          <w:szCs w:val="24"/>
        </w:rPr>
        <w:t>Окремо в довідці зазначити посилання на публічне розміщення інформації про укладений аналогічний  договір».</w:t>
      </w:r>
    </w:p>
    <w:p w:rsidR="00921394" w:rsidRPr="008D032A" w:rsidRDefault="00921394" w:rsidP="00921394">
      <w:pPr>
        <w:spacing w:after="0" w:line="240" w:lineRule="auto"/>
        <w:ind w:firstLine="709"/>
        <w:jc w:val="both"/>
        <w:rPr>
          <w:rFonts w:ascii="Times New Roman" w:hAnsi="Times New Roman" w:cs="Times New Roman"/>
          <w:bCs/>
          <w:sz w:val="24"/>
          <w:szCs w:val="24"/>
        </w:rPr>
      </w:pPr>
    </w:p>
    <w:p w:rsidR="00AA1A22" w:rsidRPr="008D032A" w:rsidRDefault="00383AC5" w:rsidP="00921394">
      <w:pPr>
        <w:spacing w:after="0" w:line="240" w:lineRule="auto"/>
        <w:ind w:firstLine="709"/>
        <w:jc w:val="both"/>
        <w:rPr>
          <w:rFonts w:ascii="Times New Roman" w:hAnsi="Times New Roman" w:cs="Times New Roman"/>
          <w:bCs/>
          <w:sz w:val="24"/>
          <w:szCs w:val="24"/>
        </w:rPr>
      </w:pPr>
      <w:r w:rsidRPr="008D032A">
        <w:rPr>
          <w:rFonts w:ascii="Times New Roman" w:hAnsi="Times New Roman" w:cs="Times New Roman"/>
          <w:bCs/>
          <w:sz w:val="24"/>
          <w:szCs w:val="24"/>
        </w:rPr>
        <w:t xml:space="preserve">3. </w:t>
      </w:r>
      <w:r w:rsidR="00AA1A22" w:rsidRPr="008D032A">
        <w:rPr>
          <w:rFonts w:ascii="Times New Roman" w:hAnsi="Times New Roman" w:cs="Times New Roman"/>
          <w:bCs/>
          <w:sz w:val="24"/>
          <w:szCs w:val="24"/>
        </w:rPr>
        <w:t>Підпункт</w:t>
      </w:r>
      <w:r w:rsidR="00AA1A22" w:rsidRPr="008D032A">
        <w:rPr>
          <w:rFonts w:ascii="Times New Roman" w:hAnsi="Times New Roman" w:cs="Times New Roman"/>
          <w:bCs/>
          <w:sz w:val="24"/>
          <w:szCs w:val="24"/>
        </w:rPr>
        <w:t>и</w:t>
      </w:r>
      <w:r w:rsidR="00AA1A22" w:rsidRPr="008D032A">
        <w:rPr>
          <w:rFonts w:ascii="Times New Roman" w:hAnsi="Times New Roman" w:cs="Times New Roman"/>
          <w:bCs/>
          <w:sz w:val="24"/>
          <w:szCs w:val="24"/>
        </w:rPr>
        <w:t xml:space="preserve"> 5.</w:t>
      </w:r>
      <w:r w:rsidR="00AA1A22" w:rsidRPr="008D032A">
        <w:rPr>
          <w:rFonts w:ascii="Times New Roman" w:hAnsi="Times New Roman" w:cs="Times New Roman"/>
          <w:bCs/>
          <w:sz w:val="24"/>
          <w:szCs w:val="24"/>
        </w:rPr>
        <w:t xml:space="preserve">4.2, </w:t>
      </w:r>
      <w:r w:rsidR="00AA1A22" w:rsidRPr="008D032A">
        <w:rPr>
          <w:rFonts w:ascii="Times New Roman" w:hAnsi="Times New Roman" w:cs="Times New Roman"/>
          <w:bCs/>
          <w:sz w:val="24"/>
          <w:szCs w:val="24"/>
        </w:rPr>
        <w:t>5</w:t>
      </w:r>
      <w:r w:rsidR="00AA1A22" w:rsidRPr="008D032A">
        <w:rPr>
          <w:rFonts w:ascii="Times New Roman" w:hAnsi="Times New Roman" w:cs="Times New Roman"/>
          <w:bCs/>
          <w:sz w:val="24"/>
          <w:szCs w:val="24"/>
        </w:rPr>
        <w:t>.4.3</w:t>
      </w:r>
      <w:r w:rsidR="00AA1A22" w:rsidRPr="008D032A">
        <w:rPr>
          <w:rFonts w:ascii="Times New Roman" w:hAnsi="Times New Roman" w:cs="Times New Roman"/>
          <w:bCs/>
          <w:sz w:val="24"/>
          <w:szCs w:val="24"/>
        </w:rPr>
        <w:t xml:space="preserve"> розділу ІІІ тендерної документації викладено у новій редакції, а саме: </w:t>
      </w:r>
    </w:p>
    <w:p w:rsidR="007209D7" w:rsidRPr="008D032A" w:rsidRDefault="007209D7" w:rsidP="00921394">
      <w:pPr>
        <w:pStyle w:val="rvps2"/>
        <w:shd w:val="clear" w:color="auto" w:fill="FFFFFF"/>
        <w:spacing w:before="0" w:beforeAutospacing="0" w:after="0" w:afterAutospacing="0"/>
        <w:jc w:val="both"/>
      </w:pPr>
      <w:r w:rsidRPr="008D032A">
        <w:t xml:space="preserve">5.4.2. Відповідно до ч.2 ст.17 Закону (пункту 47 Особливостей – під час їх застосування) Замовник може відхилити тендерну пропозицію із зазначенням аргументації в електронній системі </w:t>
      </w:r>
      <w:proofErr w:type="spellStart"/>
      <w:r w:rsidRPr="008D032A">
        <w:t>закупівель</w:t>
      </w:r>
      <w:proofErr w:type="spellEnd"/>
      <w:r w:rsidRPr="008D032A">
        <w:t xml:space="preserve"> у разі, коли учасник процедури закупівлі не виконав свої зобов’язання </w:t>
      </w:r>
      <w:r w:rsidRPr="008D032A">
        <w:lastRenderedPageBreak/>
        <w:t xml:space="preserve">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 </w:t>
      </w:r>
    </w:p>
    <w:p w:rsidR="00F56C0B" w:rsidRPr="008D032A" w:rsidRDefault="00F56C0B" w:rsidP="00921394">
      <w:pPr>
        <w:pStyle w:val="rvps2"/>
        <w:shd w:val="clear" w:color="auto" w:fill="FFFFFF"/>
        <w:spacing w:before="0" w:beforeAutospacing="0" w:after="0" w:afterAutospacing="0"/>
        <w:jc w:val="both"/>
      </w:pPr>
      <w:r w:rsidRPr="008D032A">
        <w:t xml:space="preserve">5.4.3. При відсутності в електронній системі </w:t>
      </w:r>
      <w:proofErr w:type="spellStart"/>
      <w:r w:rsidRPr="008D032A">
        <w:t>закупівель</w:t>
      </w:r>
      <w:proofErr w:type="spellEnd"/>
      <w:r w:rsidRPr="008D032A">
        <w:t xml:space="preserve"> (електронних полях) можливості підтвердити учасником відсутність підстави, передбаченої ч. 2 ст. 17 Закону (пунктом 47  Особливостей – під час їх застосування),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 передбачених ч. 2 ст. 17 Закону (пунктом 47  Особливостей – під час їх застосування), а також надати </w:t>
      </w:r>
      <w:proofErr w:type="spellStart"/>
      <w:r w:rsidRPr="008D032A">
        <w:t>надати</w:t>
      </w:r>
      <w:proofErr w:type="spellEnd"/>
      <w:r w:rsidRPr="008D032A">
        <w:t xml:space="preserve"> </w:t>
      </w:r>
      <w:r w:rsidRPr="008D032A">
        <w:rPr>
          <w:rFonts w:eastAsia="Times New Roman"/>
          <w:lang w:eastAsia="ru-RU"/>
        </w:rPr>
        <w:t xml:space="preserve">інформацію про кінцевого </w:t>
      </w:r>
      <w:proofErr w:type="spellStart"/>
      <w:r w:rsidRPr="008D032A">
        <w:rPr>
          <w:rFonts w:eastAsia="Times New Roman"/>
          <w:lang w:eastAsia="ru-RU"/>
        </w:rPr>
        <w:t>бенефіціарного</w:t>
      </w:r>
      <w:proofErr w:type="spellEnd"/>
      <w:r w:rsidRPr="008D032A">
        <w:rPr>
          <w:rFonts w:eastAsia="Times New Roman"/>
          <w:lang w:eastAsia="ru-RU"/>
        </w:rPr>
        <w:t xml:space="preserve"> власника юридичної особи</w:t>
      </w:r>
      <w:r w:rsidRPr="008D032A">
        <w:t xml:space="preserve"> з </w:t>
      </w:r>
      <w:r w:rsidRPr="00232776">
        <w:rPr>
          <w:rFonts w:eastAsia="Times New Roman"/>
          <w:color w:val="2F2F2F"/>
        </w:rPr>
        <w:t>Єдиного державного реєстру юридичних осіб, фізичних осіб - підприємців та громадських формувань</w:t>
      </w:r>
      <w:r w:rsidRPr="008D032A">
        <w:t xml:space="preserve"> (ЄДР), що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або інші документи згідно з чинним законодавством  (крім випадків, коли учасником є фізична особа-підприємець або учасником є нерезидент).</w:t>
      </w:r>
    </w:p>
    <w:p w:rsidR="00921394" w:rsidRPr="008D032A" w:rsidRDefault="00921394" w:rsidP="00921394">
      <w:pPr>
        <w:spacing w:after="0" w:line="240" w:lineRule="auto"/>
        <w:jc w:val="both"/>
        <w:rPr>
          <w:rFonts w:ascii="Times New Roman" w:hAnsi="Times New Roman" w:cs="Times New Roman"/>
          <w:bCs/>
          <w:sz w:val="24"/>
          <w:szCs w:val="24"/>
        </w:rPr>
      </w:pPr>
    </w:p>
    <w:p w:rsidR="00921394" w:rsidRPr="008D032A" w:rsidRDefault="00921394" w:rsidP="00921394">
      <w:pPr>
        <w:spacing w:after="0" w:line="240" w:lineRule="auto"/>
        <w:ind w:firstLine="708"/>
        <w:jc w:val="both"/>
        <w:rPr>
          <w:rFonts w:ascii="Times New Roman" w:hAnsi="Times New Roman" w:cs="Times New Roman"/>
          <w:bCs/>
          <w:sz w:val="24"/>
          <w:szCs w:val="24"/>
        </w:rPr>
      </w:pPr>
      <w:r w:rsidRPr="008D032A">
        <w:rPr>
          <w:rFonts w:ascii="Times New Roman" w:hAnsi="Times New Roman" w:cs="Times New Roman"/>
          <w:bCs/>
          <w:sz w:val="24"/>
          <w:szCs w:val="24"/>
        </w:rPr>
        <w:t>4</w:t>
      </w:r>
      <w:r w:rsidRPr="008D032A">
        <w:rPr>
          <w:rFonts w:ascii="Times New Roman" w:hAnsi="Times New Roman" w:cs="Times New Roman"/>
          <w:bCs/>
          <w:sz w:val="24"/>
          <w:szCs w:val="24"/>
        </w:rPr>
        <w:t xml:space="preserve">. Підпункти 5.4.2, 5.4.3 розділу ІІІ тендерної документації викладено у новій редакції, а саме: </w:t>
      </w:r>
    </w:p>
    <w:p w:rsidR="00921394" w:rsidRPr="008D032A" w:rsidRDefault="000D3E5A" w:rsidP="00921394">
      <w:pPr>
        <w:widowControl w:val="0"/>
        <w:spacing w:after="0" w:line="240" w:lineRule="auto"/>
        <w:ind w:right="113"/>
        <w:contextualSpacing/>
        <w:jc w:val="both"/>
        <w:rPr>
          <w:rFonts w:ascii="Times New Roman" w:hAnsi="Times New Roman" w:cs="Times New Roman"/>
          <w:b/>
          <w:spacing w:val="1"/>
          <w:sz w:val="24"/>
          <w:szCs w:val="24"/>
        </w:rPr>
      </w:pPr>
      <w:r w:rsidRPr="008D032A">
        <w:rPr>
          <w:rFonts w:ascii="Times New Roman" w:hAnsi="Times New Roman" w:cs="Times New Roman"/>
          <w:b/>
          <w:sz w:val="24"/>
          <w:szCs w:val="24"/>
        </w:rPr>
        <w:t>«</w:t>
      </w:r>
      <w:r w:rsidR="00921394" w:rsidRPr="008D032A">
        <w:rPr>
          <w:rFonts w:ascii="Times New Roman" w:hAnsi="Times New Roman" w:cs="Times New Roman"/>
          <w:b/>
          <w:sz w:val="24"/>
          <w:szCs w:val="24"/>
        </w:rPr>
        <w:t>5.5. Д</w:t>
      </w:r>
      <w:r w:rsidR="00921394" w:rsidRPr="008D032A">
        <w:rPr>
          <w:rFonts w:ascii="Times New Roman" w:hAnsi="Times New Roman" w:cs="Times New Roman"/>
          <w:b/>
          <w:spacing w:val="1"/>
          <w:sz w:val="24"/>
          <w:szCs w:val="24"/>
        </w:rPr>
        <w:t>окументи, які повинен подати замовнику переможець процедури закупівлі:</w:t>
      </w:r>
    </w:p>
    <w:p w:rsidR="00921394" w:rsidRPr="008D032A" w:rsidRDefault="00921394" w:rsidP="00921394">
      <w:pPr>
        <w:pStyle w:val="20"/>
        <w:spacing w:after="0" w:line="240" w:lineRule="auto"/>
        <w:jc w:val="both"/>
        <w:rPr>
          <w:rFonts w:ascii="Times New Roman" w:hAnsi="Times New Roman" w:cs="Times New Roman"/>
          <w:sz w:val="24"/>
          <w:szCs w:val="24"/>
          <w:lang w:eastAsia="uk-UA"/>
        </w:rPr>
      </w:pPr>
      <w:r w:rsidRPr="008D032A">
        <w:rPr>
          <w:rFonts w:ascii="Times New Roman" w:hAnsi="Times New Roman" w:cs="Times New Roman"/>
          <w:spacing w:val="1"/>
          <w:sz w:val="24"/>
          <w:szCs w:val="24"/>
        </w:rPr>
        <w:t xml:space="preserve">5.5.1. </w:t>
      </w:r>
      <w:r w:rsidRPr="008D032A">
        <w:rPr>
          <w:rFonts w:ascii="Times New Roman" w:hAnsi="Times New Roman" w:cs="Times New Roman"/>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8D032A">
        <w:rPr>
          <w:rFonts w:ascii="Times New Roman" w:hAnsi="Times New Roman" w:cs="Times New Roman"/>
          <w:sz w:val="24"/>
          <w:szCs w:val="24"/>
          <w:lang w:eastAsia="uk-UA"/>
        </w:rPr>
        <w:t>закупівель</w:t>
      </w:r>
      <w:proofErr w:type="spellEnd"/>
      <w:r w:rsidRPr="008D032A">
        <w:rPr>
          <w:rFonts w:ascii="Times New Roman" w:hAnsi="Times New Roman" w:cs="Times New Roman"/>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D032A">
        <w:rPr>
          <w:rFonts w:ascii="Times New Roman" w:hAnsi="Times New Roman" w:cs="Times New Roman"/>
          <w:sz w:val="24"/>
          <w:szCs w:val="24"/>
          <w:lang w:eastAsia="uk-UA"/>
        </w:rPr>
        <w:t>закупівель</w:t>
      </w:r>
      <w:proofErr w:type="spellEnd"/>
      <w:r w:rsidRPr="008D032A">
        <w:rPr>
          <w:rFonts w:ascii="Times New Roman" w:hAnsi="Times New Roman" w:cs="Times New Roman"/>
          <w:sz w:val="24"/>
          <w:szCs w:val="24"/>
          <w:lang w:eastAsia="uk-UA"/>
        </w:rPr>
        <w:t xml:space="preserve"> документи, що підтверджують відсутність підстав, зазначених у </w:t>
      </w:r>
      <w:hyperlink r:id="rId7" w:anchor="n618" w:history="1">
        <w:r w:rsidRPr="008D032A">
          <w:rPr>
            <w:rFonts w:ascii="Times New Roman" w:hAnsi="Times New Roman" w:cs="Times New Roman"/>
            <w:sz w:val="24"/>
            <w:szCs w:val="24"/>
            <w:lang w:eastAsia="uk-UA"/>
          </w:rPr>
          <w:t>підпунктах 3</w:t>
        </w:r>
      </w:hyperlink>
      <w:r w:rsidRPr="008D032A">
        <w:rPr>
          <w:rFonts w:ascii="Times New Roman" w:hAnsi="Times New Roman" w:cs="Times New Roman"/>
          <w:sz w:val="24"/>
          <w:szCs w:val="24"/>
          <w:lang w:eastAsia="uk-UA"/>
        </w:rPr>
        <w:t xml:space="preserve">, </w:t>
      </w:r>
      <w:hyperlink r:id="rId8" w:anchor="n620" w:history="1">
        <w:r w:rsidRPr="008D032A">
          <w:rPr>
            <w:rFonts w:ascii="Times New Roman" w:hAnsi="Times New Roman" w:cs="Times New Roman"/>
            <w:sz w:val="24"/>
            <w:szCs w:val="24"/>
            <w:lang w:eastAsia="uk-UA"/>
          </w:rPr>
          <w:t>5</w:t>
        </w:r>
      </w:hyperlink>
      <w:r w:rsidRPr="008D032A">
        <w:rPr>
          <w:rFonts w:ascii="Times New Roman" w:hAnsi="Times New Roman" w:cs="Times New Roman"/>
          <w:sz w:val="24"/>
          <w:szCs w:val="24"/>
          <w:lang w:eastAsia="uk-UA"/>
        </w:rPr>
        <w:t xml:space="preserve">, </w:t>
      </w:r>
      <w:hyperlink r:id="rId9" w:anchor="n621" w:history="1">
        <w:r w:rsidRPr="008D032A">
          <w:rPr>
            <w:rFonts w:ascii="Times New Roman" w:hAnsi="Times New Roman" w:cs="Times New Roman"/>
            <w:sz w:val="24"/>
            <w:szCs w:val="24"/>
            <w:lang w:eastAsia="uk-UA"/>
          </w:rPr>
          <w:t>6</w:t>
        </w:r>
      </w:hyperlink>
      <w:r w:rsidRPr="008D032A">
        <w:rPr>
          <w:rFonts w:ascii="Times New Roman" w:hAnsi="Times New Roman" w:cs="Times New Roman"/>
          <w:sz w:val="24"/>
          <w:szCs w:val="24"/>
          <w:lang w:eastAsia="uk-UA"/>
        </w:rPr>
        <w:t xml:space="preserve"> і </w:t>
      </w:r>
      <w:hyperlink r:id="rId10" w:anchor="n627" w:history="1">
        <w:r w:rsidRPr="008D032A">
          <w:rPr>
            <w:rFonts w:ascii="Times New Roman" w:hAnsi="Times New Roman" w:cs="Times New Roman"/>
            <w:sz w:val="24"/>
            <w:szCs w:val="24"/>
            <w:lang w:eastAsia="uk-UA"/>
          </w:rPr>
          <w:t>12</w:t>
        </w:r>
      </w:hyperlink>
      <w:r w:rsidRPr="008D032A">
        <w:rPr>
          <w:rFonts w:ascii="Times New Roman" w:hAnsi="Times New Roman" w:cs="Times New Roman"/>
          <w:sz w:val="24"/>
          <w:szCs w:val="24"/>
          <w:lang w:eastAsia="uk-UA"/>
        </w:rPr>
        <w:t xml:space="preserve"> та в </w:t>
      </w:r>
      <w:hyperlink r:id="rId11" w:anchor="n628" w:history="1">
        <w:r w:rsidRPr="008D032A">
          <w:rPr>
            <w:rFonts w:ascii="Times New Roman" w:hAnsi="Times New Roman" w:cs="Times New Roman"/>
            <w:sz w:val="24"/>
            <w:szCs w:val="24"/>
            <w:lang w:eastAsia="uk-UA"/>
          </w:rPr>
          <w:t>абзаці чотирнадцятому</w:t>
        </w:r>
      </w:hyperlink>
      <w:r w:rsidRPr="008D032A">
        <w:rPr>
          <w:rFonts w:ascii="Times New Roman" w:hAnsi="Times New Roman" w:cs="Times New Roman"/>
          <w:sz w:val="24"/>
          <w:szCs w:val="24"/>
          <w:lang w:eastAsia="uk-UA"/>
        </w:rPr>
        <w:t xml:space="preserve"> </w:t>
      </w:r>
      <w:r w:rsidRPr="008D032A">
        <w:rPr>
          <w:rFonts w:ascii="Times New Roman" w:hAnsi="Times New Roman" w:cs="Times New Roman"/>
          <w:sz w:val="24"/>
          <w:szCs w:val="24"/>
        </w:rPr>
        <w:t>пункту 47  Особливостей</w:t>
      </w:r>
      <w:r w:rsidRPr="008D032A">
        <w:rPr>
          <w:rFonts w:ascii="Times New Roman" w:hAnsi="Times New Roman" w:cs="Times New Roman"/>
          <w:sz w:val="24"/>
          <w:szCs w:val="24"/>
          <w:lang w:eastAsia="uk-UA"/>
        </w:rPr>
        <w:t xml:space="preserve">. Замовник не вимагає документального підтвердження публічної інформації, що оприлюднена у формі відкритих даних згідно із </w:t>
      </w:r>
      <w:hyperlink r:id="rId12" w:tgtFrame="_blank" w:history="1">
        <w:r w:rsidRPr="008D032A">
          <w:rPr>
            <w:rFonts w:ascii="Times New Roman" w:hAnsi="Times New Roman" w:cs="Times New Roman"/>
            <w:sz w:val="24"/>
            <w:szCs w:val="24"/>
            <w:lang w:eastAsia="uk-UA"/>
          </w:rPr>
          <w:t>Законом України</w:t>
        </w:r>
      </w:hyperlink>
      <w:r w:rsidRPr="008D032A">
        <w:rPr>
          <w:rFonts w:ascii="Times New Roman" w:hAnsi="Times New Roman" w:cs="Times New Roman"/>
          <w:sz w:val="24"/>
          <w:szCs w:val="24"/>
          <w:lang w:eastAsia="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D032A">
        <w:rPr>
          <w:rFonts w:ascii="Times New Roman" w:hAnsi="Times New Roman" w:cs="Times New Roman"/>
          <w:sz w:val="24"/>
          <w:szCs w:val="24"/>
          <w:lang w:eastAsia="uk-UA"/>
        </w:rPr>
        <w:t>закупівель</w:t>
      </w:r>
      <w:proofErr w:type="spellEnd"/>
      <w:r w:rsidRPr="008D032A">
        <w:rPr>
          <w:rFonts w:ascii="Times New Roman" w:hAnsi="Times New Roman" w:cs="Times New Roman"/>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rsidR="00921394" w:rsidRPr="008D032A" w:rsidRDefault="00921394" w:rsidP="00921394">
      <w:pPr>
        <w:spacing w:after="0" w:line="240" w:lineRule="auto"/>
        <w:jc w:val="both"/>
        <w:rPr>
          <w:rFonts w:ascii="Times New Roman" w:hAnsi="Times New Roman" w:cs="Times New Roman"/>
          <w:sz w:val="24"/>
          <w:szCs w:val="24"/>
        </w:rPr>
      </w:pPr>
      <w:bookmarkStart w:id="0" w:name="n630"/>
      <w:bookmarkEnd w:id="0"/>
      <w:r w:rsidRPr="008D032A">
        <w:rPr>
          <w:rFonts w:ascii="Times New Roman" w:hAnsi="Times New Roman" w:cs="Times New Roman"/>
          <w:sz w:val="24"/>
          <w:szCs w:val="24"/>
          <w:lang w:eastAsia="uk-UA"/>
        </w:rPr>
        <w:t xml:space="preserve">5.5.2. </w:t>
      </w:r>
      <w:bookmarkStart w:id="1" w:name="n631"/>
      <w:bookmarkEnd w:id="1"/>
      <w:r w:rsidRPr="008D032A">
        <w:rPr>
          <w:rFonts w:ascii="Times New Roman" w:hAnsi="Times New Roman" w:cs="Times New Roman"/>
          <w:sz w:val="24"/>
          <w:szCs w:val="24"/>
        </w:rPr>
        <w:t>Довідка в довільній формі, яка містить інформацію про те, що: а) між переможцем та замовником раніше не було укладено договорів, б)  або про те, що переможець процедури закупівлі виконав свої зобов’язання за раніше укладеним із замовником договором про закупівлю -- відповідно, підстав, що призвели б до його дострокового розірвання і до застосування санкції у вигляді штрафів та/або відшкодування збитків, не було, в)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921394" w:rsidRPr="008D032A" w:rsidRDefault="00921394" w:rsidP="00921394">
      <w:pPr>
        <w:spacing w:after="0" w:line="240" w:lineRule="auto"/>
        <w:ind w:hanging="2"/>
        <w:jc w:val="both"/>
        <w:rPr>
          <w:rFonts w:ascii="Times New Roman" w:hAnsi="Times New Roman" w:cs="Times New Roman"/>
          <w:sz w:val="24"/>
          <w:szCs w:val="24"/>
        </w:rPr>
      </w:pPr>
      <w:r w:rsidRPr="008D032A">
        <w:rPr>
          <w:rFonts w:ascii="Times New Roman" w:hAnsi="Times New Roman" w:cs="Times New Roman"/>
          <w:sz w:val="24"/>
          <w:szCs w:val="24"/>
        </w:rPr>
        <w:t xml:space="preserve">     </w:t>
      </w:r>
      <w:sdt>
        <w:sdtPr>
          <w:rPr>
            <w:rFonts w:ascii="Times New Roman" w:hAnsi="Times New Roman" w:cs="Times New Roman"/>
            <w:sz w:val="24"/>
            <w:szCs w:val="24"/>
          </w:rPr>
          <w:tag w:val="goog_rdk_14"/>
          <w:id w:val="350916866"/>
          <w:showingPlcHdr/>
        </w:sdtPr>
        <w:sdtContent>
          <w:r w:rsidRPr="008D032A">
            <w:rPr>
              <w:rFonts w:ascii="Times New Roman" w:hAnsi="Times New Roman" w:cs="Times New Roman"/>
              <w:sz w:val="24"/>
              <w:szCs w:val="24"/>
            </w:rPr>
            <w:t xml:space="preserve">     </w:t>
          </w:r>
        </w:sdtContent>
      </w:sdt>
      <w:r w:rsidRPr="008D032A">
        <w:rPr>
          <w:rFonts w:ascii="Times New Roman" w:hAnsi="Times New Roman" w:cs="Times New Roman"/>
          <w:sz w:val="24"/>
          <w:szCs w:val="24"/>
        </w:rPr>
        <w:t>Довідки, зазначені у підпунктах 5.5.1-5.5.2, надаються у формі Витягу (повний) з інформаційно-аналітичної системи «Облік відомостей про притягнення особи до кримінальної відповідальності та наявності судимості». Витяг надається щодо особи (осіб), зазначених у цьому підпункті, та має бути виданий не більше ніж за 30 календарних днів  до дня його подання Замовнику.</w:t>
      </w:r>
    </w:p>
    <w:p w:rsidR="00921394" w:rsidRPr="008D032A" w:rsidRDefault="00921394" w:rsidP="00921394">
      <w:pPr>
        <w:widowControl w:val="0"/>
        <w:spacing w:after="0" w:line="240" w:lineRule="auto"/>
        <w:ind w:right="113" w:hanging="2"/>
        <w:jc w:val="both"/>
        <w:rPr>
          <w:rFonts w:ascii="Times New Roman" w:hAnsi="Times New Roman" w:cs="Times New Roman"/>
          <w:sz w:val="24"/>
          <w:szCs w:val="24"/>
        </w:rPr>
      </w:pPr>
      <w:r w:rsidRPr="008D032A">
        <w:rPr>
          <w:rFonts w:ascii="Times New Roman" w:hAnsi="Times New Roman" w:cs="Times New Roman"/>
          <w:b/>
          <w:sz w:val="24"/>
          <w:szCs w:val="24"/>
        </w:rPr>
        <w:t xml:space="preserve">Витяг про відсутність судимості можна отримати онлайн, скориставшись сервісом Порталу ДІЯ: </w:t>
      </w:r>
      <w:hyperlink r:id="rId13">
        <w:r w:rsidRPr="008D032A">
          <w:rPr>
            <w:rFonts w:ascii="Times New Roman" w:hAnsi="Times New Roman" w:cs="Times New Roman"/>
            <w:sz w:val="24"/>
            <w:szCs w:val="24"/>
            <w:u w:val="single"/>
          </w:rPr>
          <w:t>https://diia.gov.ua/services/vityag-pro-nesudimist</w:t>
        </w:r>
      </w:hyperlink>
      <w:r w:rsidRPr="008D032A">
        <w:rPr>
          <w:rFonts w:ascii="Times New Roman" w:hAnsi="Times New Roman" w:cs="Times New Roman"/>
          <w:sz w:val="24"/>
          <w:szCs w:val="24"/>
        </w:rPr>
        <w:t xml:space="preserve"> </w:t>
      </w:r>
    </w:p>
    <w:p w:rsidR="00921394" w:rsidRPr="008D032A" w:rsidRDefault="00921394" w:rsidP="00921394">
      <w:pPr>
        <w:spacing w:after="0" w:line="240" w:lineRule="auto"/>
        <w:jc w:val="both"/>
        <w:rPr>
          <w:rFonts w:ascii="Times New Roman" w:hAnsi="Times New Roman" w:cs="Times New Roman"/>
          <w:sz w:val="24"/>
          <w:szCs w:val="24"/>
        </w:rPr>
      </w:pPr>
      <w:r w:rsidRPr="008D032A">
        <w:rPr>
          <w:rFonts w:ascii="Times New Roman" w:hAnsi="Times New Roman" w:cs="Times New Roman"/>
          <w:sz w:val="24"/>
          <w:szCs w:val="24"/>
        </w:rPr>
        <w:lastRenderedPageBreak/>
        <w:t xml:space="preserve">5.6. Переможець торгів </w:t>
      </w:r>
      <w:r w:rsidRPr="008D032A">
        <w:rPr>
          <w:rFonts w:ascii="Times New Roman" w:hAnsi="Times New Roman" w:cs="Times New Roman"/>
          <w:b/>
          <w:sz w:val="24"/>
          <w:szCs w:val="24"/>
        </w:rPr>
        <w:t>у строк, що не перевищує чотирьох днів</w:t>
      </w:r>
      <w:r w:rsidRPr="008D032A">
        <w:rPr>
          <w:rFonts w:ascii="Times New Roman" w:hAnsi="Times New Roman" w:cs="Times New Roman"/>
          <w:sz w:val="24"/>
          <w:szCs w:val="24"/>
        </w:rPr>
        <w:t xml:space="preserve"> </w:t>
      </w:r>
      <w:r w:rsidRPr="008D032A">
        <w:rPr>
          <w:rFonts w:ascii="Times New Roman" w:hAnsi="Times New Roman" w:cs="Times New Roman"/>
          <w:sz w:val="24"/>
          <w:szCs w:val="24"/>
          <w:lang w:eastAsia="uk-UA"/>
        </w:rPr>
        <w:t xml:space="preserve"> </w:t>
      </w:r>
      <w:r w:rsidRPr="008D032A">
        <w:rPr>
          <w:rFonts w:ascii="Times New Roman" w:hAnsi="Times New Roman" w:cs="Times New Roman"/>
          <w:sz w:val="24"/>
          <w:szCs w:val="24"/>
        </w:rPr>
        <w:t xml:space="preserve">з дати оприлюднення в електронній системі </w:t>
      </w:r>
      <w:proofErr w:type="spellStart"/>
      <w:r w:rsidRPr="008D032A">
        <w:rPr>
          <w:rFonts w:ascii="Times New Roman" w:hAnsi="Times New Roman" w:cs="Times New Roman"/>
          <w:sz w:val="24"/>
          <w:szCs w:val="24"/>
        </w:rPr>
        <w:t>закупівель</w:t>
      </w:r>
      <w:proofErr w:type="spellEnd"/>
      <w:r w:rsidRPr="008D032A">
        <w:rPr>
          <w:rFonts w:ascii="Times New Roman" w:hAnsi="Times New Roman" w:cs="Times New Roman"/>
          <w:sz w:val="24"/>
          <w:szCs w:val="24"/>
        </w:rPr>
        <w:t xml:space="preserve">  повідомлення про намір укласти договір, повинен надати замовнику документи, передбачені підпунктами 5.5.1.-5.5.2 пункту 5 розділу ІІІ тендерної документації. </w:t>
      </w:r>
    </w:p>
    <w:p w:rsidR="00921394" w:rsidRPr="008D032A" w:rsidRDefault="00921394" w:rsidP="00921394">
      <w:pPr>
        <w:spacing w:after="0" w:line="240" w:lineRule="auto"/>
        <w:jc w:val="both"/>
        <w:rPr>
          <w:rFonts w:ascii="Times New Roman" w:hAnsi="Times New Roman" w:cs="Times New Roman"/>
          <w:sz w:val="24"/>
          <w:szCs w:val="24"/>
        </w:rPr>
      </w:pPr>
      <w:r w:rsidRPr="008D032A">
        <w:rPr>
          <w:rFonts w:ascii="Times New Roman" w:hAnsi="Times New Roman" w:cs="Times New Roman"/>
          <w:sz w:val="24"/>
          <w:szCs w:val="24"/>
        </w:rPr>
        <w:t>Скановані по порядку в одному файлі (у форматі PDF</w:t>
      </w:r>
      <w:r w:rsidRPr="008D032A">
        <w:rPr>
          <w:rFonts w:ascii="Times New Roman" w:hAnsi="Times New Roman" w:cs="Times New Roman"/>
          <w:b/>
          <w:bCs/>
          <w:sz w:val="24"/>
          <w:szCs w:val="24"/>
        </w:rPr>
        <w:t xml:space="preserve"> </w:t>
      </w:r>
      <w:r w:rsidRPr="008D032A">
        <w:rPr>
          <w:rFonts w:ascii="Times New Roman" w:hAnsi="Times New Roman" w:cs="Times New Roman"/>
          <w:bCs/>
          <w:sz w:val="24"/>
          <w:szCs w:val="24"/>
        </w:rPr>
        <w:t>(</w:t>
      </w:r>
      <w:proofErr w:type="spellStart"/>
      <w:r w:rsidRPr="008D032A">
        <w:rPr>
          <w:rFonts w:ascii="Times New Roman" w:hAnsi="Times New Roman" w:cs="Times New Roman"/>
          <w:bCs/>
          <w:sz w:val="24"/>
          <w:szCs w:val="24"/>
        </w:rPr>
        <w:t>Portable</w:t>
      </w:r>
      <w:proofErr w:type="spellEnd"/>
      <w:r w:rsidRPr="008D032A">
        <w:rPr>
          <w:rFonts w:ascii="Times New Roman" w:hAnsi="Times New Roman" w:cs="Times New Roman"/>
          <w:bCs/>
          <w:sz w:val="24"/>
          <w:szCs w:val="24"/>
        </w:rPr>
        <w:t xml:space="preserve"> </w:t>
      </w:r>
      <w:proofErr w:type="spellStart"/>
      <w:r w:rsidRPr="008D032A">
        <w:rPr>
          <w:rFonts w:ascii="Times New Roman" w:hAnsi="Times New Roman" w:cs="Times New Roman"/>
          <w:bCs/>
          <w:sz w:val="24"/>
          <w:szCs w:val="24"/>
        </w:rPr>
        <w:t>Document</w:t>
      </w:r>
      <w:proofErr w:type="spellEnd"/>
      <w:r w:rsidRPr="008D032A">
        <w:rPr>
          <w:rFonts w:ascii="Times New Roman" w:hAnsi="Times New Roman" w:cs="Times New Roman"/>
          <w:bCs/>
          <w:sz w:val="24"/>
          <w:szCs w:val="24"/>
        </w:rPr>
        <w:t xml:space="preserve"> </w:t>
      </w:r>
      <w:proofErr w:type="spellStart"/>
      <w:r w:rsidRPr="008D032A">
        <w:rPr>
          <w:rFonts w:ascii="Times New Roman" w:hAnsi="Times New Roman" w:cs="Times New Roman"/>
          <w:bCs/>
          <w:sz w:val="24"/>
          <w:szCs w:val="24"/>
        </w:rPr>
        <w:t>Format</w:t>
      </w:r>
      <w:proofErr w:type="spellEnd"/>
      <w:r w:rsidRPr="008D032A">
        <w:rPr>
          <w:rFonts w:ascii="Times New Roman" w:hAnsi="Times New Roman" w:cs="Times New Roman"/>
          <w:sz w:val="24"/>
          <w:szCs w:val="24"/>
        </w:rPr>
        <w:t xml:space="preserve">) документи, вказані в попередньому п.5.5, надаються шляхом прикріплення файлу на електронний майданчик. Сканований документ повинен бути розбірливим та читабельним. </w:t>
      </w:r>
    </w:p>
    <w:p w:rsidR="00921394" w:rsidRPr="008D032A" w:rsidRDefault="00921394" w:rsidP="00921394">
      <w:pPr>
        <w:spacing w:after="0" w:line="240" w:lineRule="auto"/>
        <w:jc w:val="both"/>
        <w:rPr>
          <w:rFonts w:ascii="Times New Roman" w:hAnsi="Times New Roman" w:cs="Times New Roman"/>
          <w:sz w:val="24"/>
          <w:szCs w:val="24"/>
        </w:rPr>
      </w:pPr>
      <w:r w:rsidRPr="008D032A">
        <w:rPr>
          <w:rFonts w:ascii="Times New Roman" w:hAnsi="Times New Roman" w:cs="Times New Roman"/>
          <w:sz w:val="24"/>
          <w:szCs w:val="24"/>
        </w:rPr>
        <w:t>Учасники торгів – нерезиденти для виконання вимог, щодо надання документів, передбачених пунктом 1 розділу ІІІ тендерної документації, подають у складі своєї пропозиції документи, передбачені законодавством країн, де вони зареєстровані.</w:t>
      </w:r>
      <w:r w:rsidRPr="008D032A">
        <w:rPr>
          <w:rFonts w:ascii="Times New Roman" w:hAnsi="Times New Roman" w:cs="Times New Roman"/>
          <w:b/>
          <w:sz w:val="24"/>
          <w:szCs w:val="24"/>
        </w:rPr>
        <w:t xml:space="preserve"> </w:t>
      </w:r>
      <w:r w:rsidRPr="008D032A">
        <w:rPr>
          <w:rFonts w:ascii="Times New Roman" w:hAnsi="Times New Roman" w:cs="Times New Roman"/>
          <w:sz w:val="24"/>
          <w:szCs w:val="24"/>
        </w:rPr>
        <w:t>Такі документи надаються разом із завіреним у встановленому порядку перекладом.</w:t>
      </w:r>
    </w:p>
    <w:p w:rsidR="00921394" w:rsidRPr="008D032A" w:rsidRDefault="00921394" w:rsidP="00921394">
      <w:pPr>
        <w:spacing w:after="0" w:line="240" w:lineRule="auto"/>
        <w:jc w:val="both"/>
        <w:rPr>
          <w:rFonts w:ascii="Times New Roman" w:hAnsi="Times New Roman" w:cs="Times New Roman"/>
          <w:sz w:val="24"/>
          <w:szCs w:val="24"/>
        </w:rPr>
      </w:pPr>
    </w:p>
    <w:p w:rsidR="00921394" w:rsidRPr="008D032A" w:rsidRDefault="00921394" w:rsidP="00921394">
      <w:pPr>
        <w:spacing w:after="0" w:line="240" w:lineRule="auto"/>
        <w:jc w:val="both"/>
        <w:rPr>
          <w:rFonts w:ascii="Times New Roman" w:hAnsi="Times New Roman" w:cs="Times New Roman"/>
          <w:sz w:val="24"/>
          <w:szCs w:val="24"/>
        </w:rPr>
      </w:pPr>
      <w:r w:rsidRPr="008D032A">
        <w:rPr>
          <w:rFonts w:ascii="Times New Roman" w:hAnsi="Times New Roman" w:cs="Times New Roman"/>
          <w:sz w:val="24"/>
          <w:szCs w:val="24"/>
        </w:rPr>
        <w:t xml:space="preserve">На підставі частини 15 статті 29 Закону </w:t>
      </w:r>
      <w:r w:rsidRPr="008D032A">
        <w:rPr>
          <w:rFonts w:ascii="Times New Roman" w:hAnsi="Times New Roman" w:cs="Times New Roman"/>
          <w:bCs/>
          <w:sz w:val="24"/>
          <w:szCs w:val="24"/>
        </w:rPr>
        <w:t>(пункту  42  Особливостей – під час їх застосування)</w:t>
      </w:r>
      <w:r w:rsidRPr="008D032A">
        <w:rPr>
          <w:rFonts w:ascii="Times New Roman" w:hAnsi="Times New Roman" w:cs="Times New Roman"/>
          <w:sz w:val="24"/>
          <w:szCs w:val="24"/>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відповідно до статті 16 Закону та Тендерної документації, наявність підстав, зазначених у </w:t>
      </w:r>
      <w:hyperlink r:id="rId14" w:anchor="n295" w:history="1">
        <w:r w:rsidRPr="008D032A">
          <w:rPr>
            <w:rFonts w:ascii="Times New Roman" w:hAnsi="Times New Roman" w:cs="Times New Roman"/>
            <w:sz w:val="24"/>
            <w:szCs w:val="24"/>
          </w:rPr>
          <w:t>частині першій</w:t>
        </w:r>
      </w:hyperlink>
      <w:r w:rsidRPr="008D032A">
        <w:rPr>
          <w:rFonts w:ascii="Times New Roman" w:hAnsi="Times New Roman" w:cs="Times New Roman"/>
          <w:sz w:val="24"/>
          <w:szCs w:val="24"/>
        </w:rPr>
        <w:t xml:space="preserve"> статті 17 Закону </w:t>
      </w:r>
      <w:r w:rsidRPr="008D032A">
        <w:rPr>
          <w:rFonts w:ascii="Times New Roman" w:hAnsi="Times New Roman" w:cs="Times New Roman"/>
          <w:bCs/>
          <w:sz w:val="24"/>
          <w:szCs w:val="24"/>
        </w:rPr>
        <w:t>(пунктом 47  Особливостей – під час їх застосування)</w:t>
      </w:r>
      <w:r w:rsidRPr="008D032A">
        <w:rPr>
          <w:rFonts w:ascii="Times New Roman" w:hAnsi="Times New Roman" w:cs="Times New Roman"/>
          <w:sz w:val="24"/>
          <w:szCs w:val="24"/>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21394" w:rsidRPr="008D032A" w:rsidRDefault="00921394" w:rsidP="00921394">
      <w:pPr>
        <w:spacing w:after="0" w:line="240" w:lineRule="auto"/>
        <w:jc w:val="both"/>
        <w:rPr>
          <w:rFonts w:ascii="Times New Roman" w:hAnsi="Times New Roman" w:cs="Times New Roman"/>
          <w:sz w:val="24"/>
          <w:szCs w:val="24"/>
        </w:rPr>
      </w:pPr>
    </w:p>
    <w:p w:rsidR="00921394" w:rsidRPr="008D032A" w:rsidRDefault="00921394" w:rsidP="00921394">
      <w:pPr>
        <w:pStyle w:val="rvps2"/>
        <w:shd w:val="clear" w:color="auto" w:fill="FFFFFF"/>
        <w:spacing w:before="0" w:beforeAutospacing="0" w:after="0" w:afterAutospacing="0"/>
        <w:jc w:val="both"/>
      </w:pPr>
      <w:r w:rsidRPr="008D032A">
        <w:rPr>
          <w:b/>
          <w:bCs/>
        </w:rPr>
        <w:t xml:space="preserve">* </w:t>
      </w:r>
      <w:r w:rsidRPr="008D032A">
        <w:t>Вимога про скріплення печаткою не стосується учасників, які здійснюють діяльність без печатки згідно з чинним законодавством.</w:t>
      </w:r>
      <w:r w:rsidR="000D3E5A" w:rsidRPr="008D032A">
        <w:t>»</w:t>
      </w:r>
    </w:p>
    <w:p w:rsidR="007209D7" w:rsidRDefault="007209D7" w:rsidP="00921394">
      <w:pPr>
        <w:spacing w:after="0" w:line="240" w:lineRule="auto"/>
        <w:rPr>
          <w:rFonts w:ascii="Times New Roman" w:hAnsi="Times New Roman" w:cs="Times New Roman"/>
          <w:sz w:val="24"/>
          <w:szCs w:val="24"/>
        </w:rPr>
      </w:pPr>
    </w:p>
    <w:p w:rsidR="008D032A" w:rsidRDefault="008D032A" w:rsidP="00921394">
      <w:pPr>
        <w:spacing w:after="0" w:line="240" w:lineRule="auto"/>
        <w:rPr>
          <w:rFonts w:ascii="Times New Roman" w:hAnsi="Times New Roman" w:cs="Times New Roman"/>
          <w:sz w:val="24"/>
          <w:szCs w:val="24"/>
        </w:rPr>
      </w:pPr>
    </w:p>
    <w:p w:rsidR="008D032A" w:rsidRPr="008D032A" w:rsidRDefault="008D032A" w:rsidP="009213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Уповноважена особа                                     </w:t>
      </w:r>
      <w:bookmarkStart w:id="2" w:name="_GoBack"/>
      <w:bookmarkEnd w:id="2"/>
      <w:r>
        <w:rPr>
          <w:rFonts w:ascii="Times New Roman" w:hAnsi="Times New Roman" w:cs="Times New Roman"/>
          <w:sz w:val="24"/>
          <w:szCs w:val="24"/>
        </w:rPr>
        <w:t xml:space="preserve">          Валентина Ворушило</w:t>
      </w:r>
    </w:p>
    <w:sectPr w:rsidR="008D032A" w:rsidRPr="008D032A" w:rsidSect="005D55E5">
      <w:footerReference w:type="first" r:id="rId15"/>
      <w:pgSz w:w="11906" w:h="16838" w:code="9"/>
      <w:pgMar w:top="850" w:right="850" w:bottom="850" w:left="0" w:header="567" w:footer="567" w:gutter="170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348C" w:rsidRDefault="00FE348C" w:rsidP="008D032A">
      <w:pPr>
        <w:spacing w:after="0" w:line="240" w:lineRule="auto"/>
      </w:pPr>
      <w:r>
        <w:separator/>
      </w:r>
    </w:p>
  </w:endnote>
  <w:endnote w:type="continuationSeparator" w:id="0">
    <w:p w:rsidR="00FE348C" w:rsidRDefault="00FE348C" w:rsidP="008D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236421"/>
      <w:docPartObj>
        <w:docPartGallery w:val="Page Numbers (Bottom of Page)"/>
        <w:docPartUnique/>
      </w:docPartObj>
    </w:sdtPr>
    <w:sdtContent>
      <w:p w:rsidR="008D032A" w:rsidRDefault="008D032A">
        <w:pPr>
          <w:pStyle w:val="a6"/>
          <w:jc w:val="center"/>
        </w:pPr>
        <w:r>
          <w:fldChar w:fldCharType="begin"/>
        </w:r>
        <w:r>
          <w:instrText>PAGE   \* MERGEFORMAT</w:instrText>
        </w:r>
        <w:r>
          <w:fldChar w:fldCharType="separate"/>
        </w:r>
        <w:r>
          <w:rPr>
            <w:lang w:val="ru-RU"/>
          </w:rPr>
          <w:t>2</w:t>
        </w:r>
        <w:r>
          <w:fldChar w:fldCharType="end"/>
        </w:r>
      </w:p>
    </w:sdtContent>
  </w:sdt>
  <w:p w:rsidR="008D032A" w:rsidRDefault="008D03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348C" w:rsidRDefault="00FE348C" w:rsidP="008D032A">
      <w:pPr>
        <w:spacing w:after="0" w:line="240" w:lineRule="auto"/>
      </w:pPr>
      <w:r>
        <w:separator/>
      </w:r>
    </w:p>
  </w:footnote>
  <w:footnote w:type="continuationSeparator" w:id="0">
    <w:p w:rsidR="00FE348C" w:rsidRDefault="00FE348C" w:rsidP="008D03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C1606"/>
    <w:multiLevelType w:val="hybridMultilevel"/>
    <w:tmpl w:val="B55AD7A6"/>
    <w:lvl w:ilvl="0" w:tplc="5C8854B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671A2F74"/>
    <w:multiLevelType w:val="hybridMultilevel"/>
    <w:tmpl w:val="3C8C42C0"/>
    <w:lvl w:ilvl="0" w:tplc="2BEE998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revisionView w:inkAnnotations="0"/>
  <w:defaultTabStop w:val="708"/>
  <w:hyphenationZone w:val="425"/>
  <w:drawingGridHorizontalSpacing w:val="110"/>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43"/>
    <w:rsid w:val="000D3E5A"/>
    <w:rsid w:val="001C6064"/>
    <w:rsid w:val="00383AC5"/>
    <w:rsid w:val="004B5DDD"/>
    <w:rsid w:val="00590ED7"/>
    <w:rsid w:val="005D55E5"/>
    <w:rsid w:val="006656CC"/>
    <w:rsid w:val="006A1A15"/>
    <w:rsid w:val="00717A78"/>
    <w:rsid w:val="007209D7"/>
    <w:rsid w:val="0079140F"/>
    <w:rsid w:val="00806E43"/>
    <w:rsid w:val="00835A86"/>
    <w:rsid w:val="008D032A"/>
    <w:rsid w:val="008D31FF"/>
    <w:rsid w:val="00921394"/>
    <w:rsid w:val="00981301"/>
    <w:rsid w:val="00A63A4E"/>
    <w:rsid w:val="00AA1A22"/>
    <w:rsid w:val="00B12B42"/>
    <w:rsid w:val="00CC3DC3"/>
    <w:rsid w:val="00D767E6"/>
    <w:rsid w:val="00E92702"/>
    <w:rsid w:val="00F56C0B"/>
    <w:rsid w:val="00FE348C"/>
    <w:rsid w:val="00FF50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4FC0"/>
  <w15:chartTrackingRefBased/>
  <w15:docId w15:val="{7A65525D-2C47-4AB6-8A18-CE64E728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autoRedefine/>
    <w:uiPriority w:val="9"/>
    <w:qFormat/>
    <w:rsid w:val="00921394"/>
    <w:pPr>
      <w:keepNext/>
      <w:widowControl w:val="0"/>
      <w:autoSpaceDE w:val="0"/>
      <w:autoSpaceDN w:val="0"/>
      <w:adjustRightInd w:val="0"/>
      <w:spacing w:after="0" w:line="240" w:lineRule="auto"/>
      <w:jc w:val="both"/>
      <w:outlineLvl w:val="1"/>
    </w:pPr>
    <w:rPr>
      <w:rFonts w:ascii="Times New Roman" w:eastAsia="Times New Roman" w:hAnsi="Times New Roman" w:cs="Times New Roman"/>
      <w:bCs/>
      <w:iCs/>
      <w:color w:val="FF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E4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
    <w:name w:val="Обычный2"/>
    <w:rsid w:val="006656CC"/>
    <w:pPr>
      <w:spacing w:after="0"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7209D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209D7"/>
    <w:rPr>
      <w:rFonts w:ascii="Segoe UI" w:hAnsi="Segoe UI" w:cs="Segoe UI"/>
      <w:sz w:val="18"/>
      <w:szCs w:val="18"/>
    </w:rPr>
  </w:style>
  <w:style w:type="paragraph" w:customStyle="1" w:styleId="rvps2">
    <w:name w:val="rvps2"/>
    <w:basedOn w:val="a"/>
    <w:rsid w:val="007209D7"/>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20">
    <w:name w:val="Заголовок 2 Знак"/>
    <w:basedOn w:val="a0"/>
    <w:link w:val="2"/>
    <w:uiPriority w:val="9"/>
    <w:rsid w:val="00921394"/>
    <w:rPr>
      <w:rFonts w:ascii="Times New Roman" w:eastAsia="Times New Roman" w:hAnsi="Times New Roman" w:cs="Times New Roman"/>
      <w:bCs/>
      <w:iCs/>
      <w:color w:val="FF0000"/>
      <w:sz w:val="24"/>
      <w:szCs w:val="24"/>
      <w:lang w:eastAsia="ru-RU"/>
    </w:rPr>
  </w:style>
  <w:style w:type="paragraph" w:styleId="a6">
    <w:name w:val="footer"/>
    <w:basedOn w:val="a"/>
    <w:link w:val="a7"/>
    <w:uiPriority w:val="99"/>
    <w:rsid w:val="0092139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921394"/>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D032A"/>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8D0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diia.gov.ua/services/vityag-pro-nesudimist"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2939-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zakon5.rada.gov.ua/laws/show/922-19/print1454579589256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5943</Words>
  <Characters>3389</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2023-12-04T14:13:00Z</dcterms:created>
  <dcterms:modified xsi:type="dcterms:W3CDTF">2023-12-04T16:55:00Z</dcterms:modified>
</cp:coreProperties>
</file>