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9" w:rsidRDefault="006B5AD9" w:rsidP="006B5AD9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Додаток № 3</w:t>
      </w:r>
    </w:p>
    <w:p w:rsidR="006B5AD9" w:rsidRDefault="006B5AD9" w:rsidP="006B5A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Технічні вимоги</w:t>
      </w:r>
    </w:p>
    <w:p w:rsidR="006B5AD9" w:rsidRDefault="006B5AD9" w:rsidP="006B5AD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ІНФОРМАЦІЯ</w:t>
      </w: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про необхідні технічні, якісні та кількісні характеристики предмета закупівлі, </w:t>
      </w:r>
    </w:p>
    <w:p w:rsidR="006B5AD9" w:rsidRPr="00031CFC" w:rsidRDefault="006B5AD9" w:rsidP="006B5AD9">
      <w:pPr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в тому числі та документи, які повинен надати учасник для підтвердження відповідності зазначеним характеристик</w:t>
      </w:r>
    </w:p>
    <w:p w:rsidR="006B5AD9" w:rsidRPr="00031CFC" w:rsidRDefault="006B5AD9" w:rsidP="006B5AD9">
      <w:pPr>
        <w:keepNext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hi-IN"/>
        </w:rPr>
      </w:pPr>
      <w:r w:rsidRPr="00031CFC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Кількісні характеристики предмета закупівлі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5103"/>
        <w:gridCol w:w="2668"/>
        <w:gridCol w:w="1701"/>
      </w:tblGrid>
      <w:tr w:rsidR="006B5AD9" w:rsidRPr="00031CFC" w:rsidTr="00AE45AA">
        <w:trPr>
          <w:trHeight w:val="23"/>
        </w:trPr>
        <w:tc>
          <w:tcPr>
            <w:tcW w:w="734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№</w:t>
            </w:r>
          </w:p>
        </w:tc>
        <w:tc>
          <w:tcPr>
            <w:tcW w:w="5103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 xml:space="preserve">Назва </w:t>
            </w:r>
          </w:p>
        </w:tc>
        <w:tc>
          <w:tcPr>
            <w:tcW w:w="2668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Одиниця виміру</w:t>
            </w:r>
          </w:p>
        </w:tc>
        <w:tc>
          <w:tcPr>
            <w:tcW w:w="1701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Кількість</w:t>
            </w:r>
          </w:p>
        </w:tc>
      </w:tr>
      <w:tr w:rsidR="006B5AD9" w:rsidRPr="00031CFC" w:rsidTr="00AE45AA">
        <w:trPr>
          <w:trHeight w:val="23"/>
        </w:trPr>
        <w:tc>
          <w:tcPr>
            <w:tcW w:w="734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03" w:type="dxa"/>
          </w:tcPr>
          <w:p w:rsidR="006B5AD9" w:rsidRPr="00031CFC" w:rsidRDefault="006B5AD9" w:rsidP="00AE45AA">
            <w:pPr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shd w:val="clear" w:color="auto" w:fill="FFFFFF"/>
                <w:lang w:val="uk-UA" w:eastAsia="uk-UA" w:bidi="hi-IN"/>
              </w:rPr>
              <w:t xml:space="preserve">код </w:t>
            </w:r>
            <w:proofErr w:type="spellStart"/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shd w:val="clear" w:color="auto" w:fill="FFFFFF"/>
                <w:lang w:val="uk-UA" w:eastAsia="uk-UA" w:bidi="hi-IN"/>
              </w:rPr>
              <w:t>ДК</w:t>
            </w:r>
            <w:proofErr w:type="spellEnd"/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shd w:val="clear" w:color="auto" w:fill="FFFFFF"/>
                <w:lang w:val="uk-UA" w:eastAsia="uk-UA" w:bidi="hi-IN"/>
              </w:rPr>
              <w:t xml:space="preserve"> 021:2015: </w:t>
            </w: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lang w:val="uk-UA" w:eastAsia="zh-CN" w:bidi="hi-IN"/>
              </w:rPr>
              <w:t>09310000-5 «Електрична енергія»</w:t>
            </w:r>
            <w:r w:rsidRPr="00031CFC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 xml:space="preserve"> (</w:t>
            </w: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lang w:val="uk-UA" w:eastAsia="zh-CN" w:bidi="hi-IN"/>
              </w:rPr>
              <w:t>Електрична енергія</w:t>
            </w:r>
            <w:r w:rsidRPr="00031CFC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2668" w:type="dxa"/>
            <w:vAlign w:val="bottom"/>
          </w:tcPr>
          <w:p w:rsidR="006B5AD9" w:rsidRPr="00031CFC" w:rsidRDefault="006B5AD9" w:rsidP="00AE45AA">
            <w:pPr>
              <w:spacing w:line="240" w:lineRule="atLeast"/>
              <w:jc w:val="center"/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кВт/год.</w:t>
            </w:r>
          </w:p>
        </w:tc>
        <w:tc>
          <w:tcPr>
            <w:tcW w:w="1701" w:type="dxa"/>
            <w:vAlign w:val="bottom"/>
          </w:tcPr>
          <w:p w:rsidR="006B5AD9" w:rsidRPr="00031CFC" w:rsidRDefault="00873050" w:rsidP="00AE45AA">
            <w:pPr>
              <w:spacing w:line="240" w:lineRule="atLeast"/>
              <w:jc w:val="center"/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 w:rsidR="00B2361B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38000</w:t>
            </w:r>
          </w:p>
        </w:tc>
      </w:tr>
    </w:tbl>
    <w:p w:rsidR="006B5AD9" w:rsidRPr="00031CFC" w:rsidRDefault="006B5AD9" w:rsidP="006B5AD9">
      <w:pPr>
        <w:keepNext/>
        <w:jc w:val="both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:rsidR="00873050" w:rsidRPr="00031CFC" w:rsidRDefault="00873050" w:rsidP="00873050">
      <w:pPr>
        <w:numPr>
          <w:ilvl w:val="0"/>
          <w:numId w:val="1"/>
        </w:numPr>
        <w:tabs>
          <w:tab w:val="num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Обсяги постачання електричної енергії з </w:t>
      </w:r>
      <w:r w:rsidR="00B2361B" w:rsidRPr="00B2361B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01.01.2024</w:t>
      </w:r>
      <w:r w:rsidRPr="00B2361B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р. по </w:t>
      </w:r>
      <w:r w:rsidR="00B2361B" w:rsidRPr="00B2361B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31.12.2024</w:t>
      </w:r>
      <w:r w:rsidRPr="00B2361B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р.</w:t>
      </w:r>
      <w:r w:rsidRPr="00031CF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 </w:t>
      </w:r>
    </w:p>
    <w:p w:rsidR="00873050" w:rsidRPr="00031CFC" w:rsidRDefault="00873050" w:rsidP="00873050">
      <w:pPr>
        <w:ind w:firstLine="851"/>
        <w:jc w:val="both"/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</w:pPr>
      <w:r w:rsidRPr="00031CFC">
        <w:rPr>
          <w:rFonts w:ascii="Liberation Serif" w:eastAsia="Times New Roman" w:hAnsi="Liberation Serif" w:cs="Lohit Devanagari"/>
          <w:color w:val="00000A"/>
          <w:kern w:val="2"/>
          <w:sz w:val="24"/>
          <w:szCs w:val="24"/>
          <w:lang w:val="uk-UA" w:eastAsia="zh-CN" w:bidi="hi-IN"/>
        </w:rPr>
        <w:t xml:space="preserve">Замовник може зменшити обсяги закупівлі в залежності від </w:t>
      </w:r>
      <w:r w:rsidRPr="00031CFC"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  <w:t>фактичної потреб</w:t>
      </w:r>
    </w:p>
    <w:p w:rsidR="00B2361B" w:rsidRDefault="00873050" w:rsidP="00B2361B">
      <w:pPr>
        <w:pStyle w:val="rvps2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031CFC">
        <w:rPr>
          <w:lang w:eastAsia="uk-UA"/>
        </w:rPr>
        <w:t>Місце</w:t>
      </w:r>
      <w:proofErr w:type="spellEnd"/>
      <w:r w:rsidRPr="00031CFC">
        <w:rPr>
          <w:lang w:eastAsia="uk-UA"/>
        </w:rPr>
        <w:t xml:space="preserve"> </w:t>
      </w:r>
      <w:proofErr w:type="spellStart"/>
      <w:r w:rsidRPr="00031CFC">
        <w:rPr>
          <w:lang w:eastAsia="uk-UA"/>
        </w:rPr>
        <w:t>розташування</w:t>
      </w:r>
      <w:proofErr w:type="spellEnd"/>
      <w:r w:rsidRPr="00031CFC">
        <w:rPr>
          <w:lang w:eastAsia="uk-UA"/>
        </w:rPr>
        <w:t xml:space="preserve"> </w:t>
      </w:r>
      <w:proofErr w:type="spellStart"/>
      <w:r w:rsidRPr="00031CFC">
        <w:rPr>
          <w:lang w:eastAsia="uk-UA"/>
        </w:rPr>
        <w:t>об’єкта</w:t>
      </w:r>
      <w:proofErr w:type="spellEnd"/>
      <w:r w:rsidRPr="00031CFC">
        <w:rPr>
          <w:lang w:eastAsia="uk-UA"/>
        </w:rPr>
        <w:t xml:space="preserve"> </w:t>
      </w:r>
      <w:proofErr w:type="spellStart"/>
      <w:r w:rsidRPr="00031CFC">
        <w:rPr>
          <w:lang w:eastAsia="uk-UA"/>
        </w:rPr>
        <w:t>Замовника</w:t>
      </w:r>
      <w:proofErr w:type="spellEnd"/>
      <w:r w:rsidRPr="00031CFC">
        <w:rPr>
          <w:lang w:eastAsia="uk-UA"/>
        </w:rPr>
        <w:t>:</w:t>
      </w:r>
      <w:r w:rsidR="00B2361B" w:rsidRPr="00B2361B">
        <w:rPr>
          <w:lang w:val="uk-UA" w:eastAsia="uk-UA"/>
        </w:rPr>
        <w:t xml:space="preserve"> </w:t>
      </w:r>
      <w:r w:rsidR="00B2361B">
        <w:rPr>
          <w:lang w:val="uk-UA" w:eastAsia="uk-UA"/>
        </w:rPr>
        <w:t xml:space="preserve">14000, </w:t>
      </w:r>
      <w:proofErr w:type="spellStart"/>
      <w:r w:rsidR="00B2361B">
        <w:rPr>
          <w:lang w:val="uk-UA" w:eastAsia="uk-UA"/>
        </w:rPr>
        <w:t>м</w:t>
      </w:r>
      <w:proofErr w:type="gramStart"/>
      <w:r w:rsidR="00B2361B">
        <w:rPr>
          <w:lang w:val="uk-UA" w:eastAsia="uk-UA"/>
        </w:rPr>
        <w:t>.Ч</w:t>
      </w:r>
      <w:proofErr w:type="gramEnd"/>
      <w:r w:rsidR="00B2361B">
        <w:rPr>
          <w:lang w:val="uk-UA" w:eastAsia="uk-UA"/>
        </w:rPr>
        <w:t>ернігів</w:t>
      </w:r>
      <w:proofErr w:type="spellEnd"/>
      <w:r w:rsidR="00B2361B">
        <w:rPr>
          <w:lang w:val="uk-UA" w:eastAsia="uk-UA"/>
        </w:rPr>
        <w:t xml:space="preserve">, </w:t>
      </w:r>
      <w:proofErr w:type="spellStart"/>
      <w:r w:rsidR="00B2361B">
        <w:rPr>
          <w:lang w:val="uk-UA" w:eastAsia="uk-UA"/>
        </w:rPr>
        <w:t>просп.Миру</w:t>
      </w:r>
      <w:proofErr w:type="spellEnd"/>
      <w:r w:rsidR="00B2361B">
        <w:rPr>
          <w:lang w:val="uk-UA" w:eastAsia="uk-UA"/>
        </w:rPr>
        <w:t>, 36, гараж</w:t>
      </w:r>
    </w:p>
    <w:p w:rsidR="00B2361B" w:rsidRPr="008D2766" w:rsidRDefault="00B2361B" w:rsidP="00B2361B">
      <w:pPr>
        <w:pStyle w:val="rvps2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8D2766">
        <w:rPr>
          <w:lang w:val="uk-UA"/>
        </w:rPr>
        <w:t xml:space="preserve">15100, </w:t>
      </w:r>
      <w:proofErr w:type="spellStart"/>
      <w:r w:rsidRPr="008D2766">
        <w:rPr>
          <w:lang w:val="uk-UA"/>
        </w:rPr>
        <w:t>м.Городня</w:t>
      </w:r>
      <w:proofErr w:type="spellEnd"/>
      <w:r w:rsidRPr="008D2766">
        <w:rPr>
          <w:lang w:val="uk-UA"/>
        </w:rPr>
        <w:t xml:space="preserve">, </w:t>
      </w:r>
      <w:proofErr w:type="spellStart"/>
      <w:r w:rsidRPr="008D2766">
        <w:rPr>
          <w:lang w:val="uk-UA"/>
        </w:rPr>
        <w:t>вул.Хрипівська</w:t>
      </w:r>
      <w:proofErr w:type="spellEnd"/>
      <w:r w:rsidRPr="008D2766">
        <w:rPr>
          <w:lang w:val="uk-UA"/>
        </w:rPr>
        <w:t>,15,  медичний склад 1134</w:t>
      </w:r>
    </w:p>
    <w:p w:rsidR="00B2361B" w:rsidRPr="008D2766" w:rsidRDefault="00B2361B" w:rsidP="00B2361B">
      <w:pPr>
        <w:pStyle w:val="rvps2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8D2766">
        <w:rPr>
          <w:lang w:val="uk-UA"/>
        </w:rPr>
        <w:t xml:space="preserve">17523, </w:t>
      </w:r>
      <w:proofErr w:type="spellStart"/>
      <w:r w:rsidRPr="008D2766">
        <w:rPr>
          <w:lang w:val="uk-UA"/>
        </w:rPr>
        <w:t>смт</w:t>
      </w:r>
      <w:proofErr w:type="spellEnd"/>
      <w:r w:rsidRPr="008D2766">
        <w:rPr>
          <w:lang w:val="uk-UA"/>
        </w:rPr>
        <w:t xml:space="preserve"> Мала Дівиця,</w:t>
      </w:r>
      <w:r>
        <w:rPr>
          <w:lang w:val="uk-UA"/>
        </w:rPr>
        <w:t xml:space="preserve"> Прилуцький р-н, </w:t>
      </w:r>
      <w:proofErr w:type="spellStart"/>
      <w:r>
        <w:rPr>
          <w:lang w:val="uk-UA"/>
        </w:rPr>
        <w:t>пров.Павлова</w:t>
      </w:r>
      <w:proofErr w:type="spellEnd"/>
      <w:r>
        <w:rPr>
          <w:lang w:val="uk-UA"/>
        </w:rPr>
        <w:t>,1-А</w:t>
      </w:r>
      <w:r w:rsidRPr="008D2766">
        <w:rPr>
          <w:lang w:val="uk-UA"/>
        </w:rPr>
        <w:t>, медичний склад 1109</w:t>
      </w:r>
    </w:p>
    <w:p w:rsidR="00B2361B" w:rsidRPr="008D2766" w:rsidRDefault="00B2361B" w:rsidP="00B2361B">
      <w:pPr>
        <w:pStyle w:val="rvps2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8D2766">
        <w:rPr>
          <w:lang w:val="uk-UA"/>
        </w:rPr>
        <w:t xml:space="preserve">16600, </w:t>
      </w:r>
      <w:proofErr w:type="spellStart"/>
      <w:r w:rsidRPr="008D2766">
        <w:rPr>
          <w:lang w:val="uk-UA"/>
        </w:rPr>
        <w:t>м.Ніжин</w:t>
      </w:r>
      <w:proofErr w:type="spellEnd"/>
      <w:r w:rsidRPr="008D2766">
        <w:rPr>
          <w:lang w:val="uk-UA"/>
        </w:rPr>
        <w:t>, вул. Об</w:t>
      </w:r>
      <w:r w:rsidRPr="008D2766">
        <w:t>`</w:t>
      </w:r>
      <w:proofErr w:type="spellStart"/>
      <w:r>
        <w:rPr>
          <w:lang w:val="uk-UA"/>
        </w:rPr>
        <w:t>їжджа</w:t>
      </w:r>
      <w:proofErr w:type="spellEnd"/>
      <w:r>
        <w:rPr>
          <w:lang w:val="uk-UA"/>
        </w:rPr>
        <w:t>,41-А</w:t>
      </w:r>
      <w:r w:rsidRPr="008D2766">
        <w:rPr>
          <w:lang w:val="uk-UA"/>
        </w:rPr>
        <w:t>, медичний склад 1107</w:t>
      </w:r>
    </w:p>
    <w:p w:rsidR="00B2361B" w:rsidRPr="00467988" w:rsidRDefault="00B2361B" w:rsidP="00B2361B">
      <w:pPr>
        <w:pStyle w:val="a4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67988">
        <w:rPr>
          <w:rFonts w:ascii="Times New Roman" w:hAnsi="Times New Roman" w:cs="Times New Roman"/>
          <w:sz w:val="24"/>
          <w:szCs w:val="24"/>
          <w:lang w:eastAsia="uk-UA"/>
        </w:rPr>
        <w:t>15600,</w:t>
      </w:r>
      <w:r w:rsidRPr="00B2361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вул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Віталія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Горбача</w:t>
      </w:r>
      <w:r w:rsidRPr="004679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>(</w:t>
      </w:r>
      <w:r w:rsidRPr="00467988">
        <w:rPr>
          <w:rFonts w:ascii="Times New Roman" w:hAnsi="Times New Roman"/>
          <w:sz w:val="24"/>
          <w:szCs w:val="24"/>
          <w:lang w:eastAsia="uk-UA"/>
        </w:rPr>
        <w:t xml:space="preserve">8-го </w:t>
      </w:r>
      <w:proofErr w:type="spellStart"/>
      <w:r w:rsidRPr="00467988">
        <w:rPr>
          <w:rFonts w:ascii="Times New Roman" w:hAnsi="Times New Roman"/>
          <w:sz w:val="24"/>
          <w:szCs w:val="24"/>
          <w:lang w:eastAsia="uk-UA"/>
        </w:rPr>
        <w:t>Березня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)</w:t>
      </w:r>
      <w:r w:rsidRPr="00467988">
        <w:rPr>
          <w:rFonts w:ascii="Times New Roman" w:hAnsi="Times New Roman"/>
          <w:sz w:val="24"/>
          <w:szCs w:val="24"/>
          <w:lang w:eastAsia="uk-UA"/>
        </w:rPr>
        <w:t xml:space="preserve"> 1-А</w:t>
      </w:r>
      <w:r w:rsidRPr="00467988">
        <w:rPr>
          <w:rFonts w:ascii="Times New Roman" w:hAnsi="Times New Roman" w:cs="Times New Roman"/>
          <w:sz w:val="24"/>
          <w:szCs w:val="24"/>
          <w:lang w:eastAsia="uk-UA"/>
        </w:rPr>
        <w:t>, м</w:t>
      </w:r>
      <w:proofErr w:type="gramStart"/>
      <w:r w:rsidRPr="00467988">
        <w:rPr>
          <w:rFonts w:ascii="Times New Roman" w:hAnsi="Times New Roman" w:cs="Times New Roman"/>
          <w:sz w:val="24"/>
          <w:szCs w:val="24"/>
          <w:lang w:eastAsia="uk-UA"/>
        </w:rPr>
        <w:t>.М</w:t>
      </w:r>
      <w:proofErr w:type="gramEnd"/>
      <w:r w:rsidRPr="00467988">
        <w:rPr>
          <w:rFonts w:ascii="Times New Roman" w:hAnsi="Times New Roman" w:cs="Times New Roman"/>
          <w:sz w:val="24"/>
          <w:szCs w:val="24"/>
          <w:lang w:eastAsia="uk-UA"/>
        </w:rPr>
        <w:t xml:space="preserve">ена,   </w:t>
      </w:r>
      <w:proofErr w:type="spellStart"/>
      <w:r w:rsidRPr="00467988">
        <w:rPr>
          <w:rFonts w:ascii="Times New Roman" w:hAnsi="Times New Roman" w:cs="Times New Roman"/>
          <w:sz w:val="24"/>
          <w:szCs w:val="24"/>
          <w:lang w:eastAsia="uk-UA"/>
        </w:rPr>
        <w:t>медичний</w:t>
      </w:r>
      <w:proofErr w:type="spellEnd"/>
      <w:r w:rsidRPr="00467988">
        <w:rPr>
          <w:rFonts w:ascii="Times New Roman" w:hAnsi="Times New Roman" w:cs="Times New Roman"/>
          <w:sz w:val="24"/>
          <w:szCs w:val="24"/>
          <w:lang w:eastAsia="uk-UA"/>
        </w:rPr>
        <w:t xml:space="preserve"> склад №1106 </w:t>
      </w:r>
    </w:p>
    <w:p w:rsidR="00B2361B" w:rsidRPr="00467988" w:rsidRDefault="00B2361B" w:rsidP="00B2361B">
      <w:pPr>
        <w:pStyle w:val="a4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67988">
        <w:rPr>
          <w:rFonts w:ascii="Times New Roman" w:hAnsi="Times New Roman" w:cs="Times New Roman"/>
          <w:sz w:val="24"/>
          <w:szCs w:val="24"/>
          <w:lang w:eastAsia="uk-UA"/>
        </w:rPr>
        <w:t xml:space="preserve">16300, </w:t>
      </w:r>
      <w:proofErr w:type="spellStart"/>
      <w:r w:rsidRPr="00467988">
        <w:rPr>
          <w:rFonts w:ascii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467988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467988">
        <w:rPr>
          <w:rFonts w:ascii="Times New Roman" w:hAnsi="Times New Roman"/>
          <w:sz w:val="24"/>
          <w:szCs w:val="24"/>
          <w:lang w:eastAsia="uk-UA"/>
        </w:rPr>
        <w:t>Амосова 19-Б</w:t>
      </w:r>
      <w:r w:rsidRPr="00467988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67988">
        <w:rPr>
          <w:rFonts w:ascii="Times New Roman" w:hAnsi="Times New Roman" w:cs="Times New Roman"/>
          <w:sz w:val="24"/>
          <w:szCs w:val="24"/>
          <w:lang w:eastAsia="uk-UA"/>
        </w:rPr>
        <w:t>смт</w:t>
      </w:r>
      <w:proofErr w:type="gramStart"/>
      <w:r w:rsidRPr="00467988">
        <w:rPr>
          <w:rFonts w:ascii="Times New Roman" w:hAnsi="Times New Roman" w:cs="Times New Roman"/>
          <w:sz w:val="24"/>
          <w:szCs w:val="24"/>
          <w:lang w:eastAsia="uk-UA"/>
        </w:rPr>
        <w:t>.К</w:t>
      </w:r>
      <w:proofErr w:type="gramEnd"/>
      <w:r w:rsidRPr="00467988">
        <w:rPr>
          <w:rFonts w:ascii="Times New Roman" w:hAnsi="Times New Roman" w:cs="Times New Roman"/>
          <w:sz w:val="24"/>
          <w:szCs w:val="24"/>
          <w:lang w:eastAsia="uk-UA"/>
        </w:rPr>
        <w:t>уликівка</w:t>
      </w:r>
      <w:proofErr w:type="spellEnd"/>
      <w:r w:rsidRPr="00467988">
        <w:rPr>
          <w:rFonts w:ascii="Times New Roman" w:hAnsi="Times New Roman" w:cs="Times New Roman"/>
          <w:sz w:val="24"/>
          <w:szCs w:val="24"/>
          <w:lang w:eastAsia="uk-UA"/>
        </w:rPr>
        <w:t xml:space="preserve">,  </w:t>
      </w:r>
      <w:proofErr w:type="spellStart"/>
      <w:r w:rsidRPr="00467988">
        <w:rPr>
          <w:rFonts w:ascii="Times New Roman" w:hAnsi="Times New Roman" w:cs="Times New Roman"/>
          <w:sz w:val="24"/>
          <w:szCs w:val="24"/>
          <w:lang w:eastAsia="uk-UA"/>
        </w:rPr>
        <w:t>медичний</w:t>
      </w:r>
      <w:proofErr w:type="spellEnd"/>
      <w:r w:rsidRPr="00467988">
        <w:rPr>
          <w:rFonts w:ascii="Times New Roman" w:hAnsi="Times New Roman" w:cs="Times New Roman"/>
          <w:sz w:val="24"/>
          <w:szCs w:val="24"/>
          <w:lang w:eastAsia="uk-UA"/>
        </w:rPr>
        <w:t xml:space="preserve"> склад №1163</w:t>
      </w:r>
    </w:p>
    <w:p w:rsidR="00873050" w:rsidRPr="00031CFC" w:rsidRDefault="00873050" w:rsidP="00B2361B">
      <w:pPr>
        <w:tabs>
          <w:tab w:val="num" w:pos="851"/>
        </w:tabs>
        <w:suppressAutoHyphens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</w:p>
    <w:p w:rsidR="00873050" w:rsidRPr="00031CFC" w:rsidRDefault="00873050" w:rsidP="00873050">
      <w:pPr>
        <w:numPr>
          <w:ilvl w:val="0"/>
          <w:numId w:val="1"/>
        </w:numPr>
        <w:tabs>
          <w:tab w:val="num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Клас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напруги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– 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2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</w:p>
    <w:p w:rsidR="00873050" w:rsidRPr="00031CFC" w:rsidRDefault="00873050" w:rsidP="00873050">
      <w:pPr>
        <w:tabs>
          <w:tab w:val="num" w:pos="85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укладає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встановленому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порядку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оператором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системи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</w:t>
      </w:r>
      <w:r w:rsidRPr="00031CF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АКЦІОНЕРНЕ ТОВАРИСТВО «ЧЕРНІГІВОБЛЕНЕРГО» (код ЄДРПОУ 22815333)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)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догові</w:t>
      </w:r>
      <w:proofErr w:type="gram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</w:t>
      </w:r>
      <w:proofErr w:type="spellEnd"/>
      <w:proofErr w:type="gram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підставі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набуває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право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отримувати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повинні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нормам </w:t>
      </w:r>
      <w:proofErr w:type="gram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чинного</w:t>
      </w:r>
      <w:proofErr w:type="gram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сфері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електроенергетики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регулюють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взаємовідносини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сторін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процесі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зокрема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: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Закону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України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«Про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ринок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»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13.04.2017 № 2019-VШ;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Правилам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роздрібного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ринку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№312);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систем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передачі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№309);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систем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№310);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lastRenderedPageBreak/>
        <w:t xml:space="preserve">Кодексу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комерційного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proofErr w:type="gram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обл</w:t>
      </w:r>
      <w:proofErr w:type="gram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gram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14.03.2018 року №311);</w:t>
      </w:r>
      <w:proofErr w:type="gramEnd"/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Ліцензійним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провадження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господарської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діяльності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27.12.2017 року №1469);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Ліцензійним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провадження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господарської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діяльності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27.12.2017 року №1470).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Для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безперервного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зобов'язується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здійснювати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своєчасну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закупівлю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обсягах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належних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умов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забезпечать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задоволення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попиту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Замовником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proofErr w:type="gram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зобов'язується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забезпечити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комерційну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передбачає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вчасне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повне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інформування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ціни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енергію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вартість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надаються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роз'яснень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положень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актів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якими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регулюються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відносини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Сторін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ведення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точних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прозорих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розрахунків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Замовником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також</w:t>
      </w:r>
      <w:proofErr w:type="spellEnd"/>
      <w:proofErr w:type="gram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можливість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вирішення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спірних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питань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шляхом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досудового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врегулювання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Параметри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точках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приєднання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нормальних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експлуатації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мають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параметрам,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визначеним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ДСТУ EN 50160:2014 «Характеристики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напруги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мережах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загальної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призначеності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».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При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виконанні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замовлення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дотримується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вимог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захисту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довкілля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: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технічні, якісні характеристики предмету закупівлі повинні відповідати встановленим/зареєстрованим діючим нормативним актам (стандартам, умовам, тощо), які передбачають застосування заходів із захисту довкілля;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 xml:space="preserve">характеристики предмету закупівлі повинні відповідати вимогам чинних нормативно-правових актів щодо встановлення рівнів шкідливого та біологічного впливу на навколишнє </w:t>
      </w:r>
      <w:proofErr w:type="spellStart"/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природнє</w:t>
      </w:r>
      <w:proofErr w:type="spellEnd"/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 xml:space="preserve"> середовище і здоров’я людини;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при виконанні замовлення Учасник дотримується правил протипожежної безпеки, санітарних норм, використовує якісні матеріали, машини, механізми та іншу техніку, які відповідають вимогам діючого природоохоронного законодавства.</w:t>
      </w: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Liberation Serif" w:eastAsia="Calibri" w:hAnsi="Liberation Serif" w:cs="Mangal"/>
          <w:bCs/>
          <w:i/>
          <w:color w:val="00000A"/>
          <w:sz w:val="24"/>
          <w:szCs w:val="21"/>
          <w:lang w:val="uk-UA" w:eastAsia="en-US" w:bidi="hi-IN"/>
        </w:rPr>
      </w:pPr>
      <w:r w:rsidRPr="00031CFC">
        <w:rPr>
          <w:rFonts w:ascii="Liberation Serif" w:eastAsia="Calibri" w:hAnsi="Liberation Serif" w:cs="Mangal"/>
          <w:bCs/>
          <w:i/>
          <w:color w:val="00000A"/>
          <w:sz w:val="24"/>
          <w:szCs w:val="21"/>
          <w:lang w:val="uk-UA" w:eastAsia="en-US" w:bidi="hi-IN"/>
        </w:rPr>
        <w:t>Для підтвердження Учасник надає лист в довільній формі.</w:t>
      </w: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:rsidR="006B5AD9" w:rsidRPr="00031CFC" w:rsidRDefault="006B5AD9" w:rsidP="006B5AD9">
      <w:pPr>
        <w:tabs>
          <w:tab w:val="left" w:pos="709"/>
          <w:tab w:val="num" w:pos="851"/>
        </w:tabs>
        <w:spacing w:line="240" w:lineRule="atLeast"/>
        <w:ind w:firstLine="567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3. При поданні пропозицій Учасником, повинні бути враховані чинні нормативно-правові документи, які запроваджують спеціальні економічні та інші обмежувальні заходи та заходи у сфері зовнішньоекономічної діяльності, зокрема: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14.08.2014р. №  1644-VII «Про санкції»;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14.10.2014р. № 1702-VII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16.04.1991р. № 959-XII «Про зовнішньоекономічну діяльність»;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15.05.2017р. N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14.05.2018 № 126/2018 «Про рішення Ради національної безпеки і оборони України від 2 травня 2018 року «Про застосування та скасування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lastRenderedPageBreak/>
        <w:t>Указу Президента України від 06.03.2018 № 57/2018 «Про рішення Ради національної безпеки і оборони України від 1 березня 2018 року «Про застосування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Постанова КМУ від 30.12.2015 № 1147 «Про заборону ввезення на митну територію України товарів, що походять з Російської Федерації»;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Постанова КМУ від 30.12.2015 № 1146 «Про ставки ввізного мита стосовно товарів, що походять з Російської Федерації»;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Розпорядження КМУ від 11.09.2014р. № 829-р «Про пропозиції щодо застосування персональних спеціальних економічних та інших обмежувальних заходів»;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Розпорядження КМУ від 12.08.2015р. N 808-р «Про розширення пропозицій щодо застосування персональних спеціальних економічних та інших обмежувальних заходів»;</w:t>
      </w:r>
    </w:p>
    <w:p w:rsidR="006B5AD9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інші нормативно-правові акти щодо запровадження спеціальних економічних та інших обмежувальних заходів.</w:t>
      </w:r>
    </w:p>
    <w:p w:rsidR="003F7A74" w:rsidRDefault="003F7A74" w:rsidP="003F7A74">
      <w:pPr>
        <w:tabs>
          <w:tab w:val="left" w:pos="851"/>
        </w:tabs>
        <w:spacing w:line="240" w:lineRule="atLeast"/>
        <w:ind w:left="567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:rsidR="003F7A74" w:rsidRPr="003F7A74" w:rsidRDefault="003F7A74" w:rsidP="003F7A74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</w:pPr>
      <w:r w:rsidRPr="003F7A74"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  <w:t xml:space="preserve">Для підтвердження  </w:t>
      </w:r>
      <w:proofErr w:type="spellStart"/>
      <w:r w:rsidRPr="003F7A74"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  <w:t>нявності</w:t>
      </w:r>
      <w:proofErr w:type="spellEnd"/>
      <w:r w:rsidRPr="003F7A74"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  <w:t xml:space="preserve"> ліцензії Учасник надає лист в довільній формі.</w:t>
      </w:r>
    </w:p>
    <w:p w:rsidR="003F7A74" w:rsidRPr="003F7A74" w:rsidRDefault="003F7A74" w:rsidP="003F7A74">
      <w:pPr>
        <w:jc w:val="both"/>
        <w:rPr>
          <w:rFonts w:ascii="Times New Roman" w:hAnsi="Times New Roman" w:cs="Times New Roman"/>
          <w:lang w:val="uk-UA"/>
        </w:rPr>
      </w:pPr>
      <w:r w:rsidRPr="003F7A74">
        <w:rPr>
          <w:rFonts w:ascii="Times New Roman" w:hAnsi="Times New Roman" w:cs="Times New Roman"/>
          <w:lang w:val="uk-UA"/>
        </w:rPr>
        <w:t xml:space="preserve">       Лист-підтвердження від учасника про наявність ліцензії на право провадження господарської діяльності з постачання електричної енергії споживачу, виданої НКРЕКП у встановленому порядку, із зазначенням дати й номера рішення(постанови) НКРЕКП про видачу (переоформлення) ліцензії учаснику, а також посилання на відповідну постанову на офіційному </w:t>
      </w:r>
      <w:proofErr w:type="spellStart"/>
      <w:r w:rsidRPr="003F7A74">
        <w:rPr>
          <w:rFonts w:ascii="Times New Roman" w:hAnsi="Times New Roman" w:cs="Times New Roman"/>
          <w:lang w:val="uk-UA"/>
        </w:rPr>
        <w:t>вебсайті</w:t>
      </w:r>
      <w:proofErr w:type="spellEnd"/>
      <w:r w:rsidRPr="003F7A74">
        <w:rPr>
          <w:rFonts w:ascii="Times New Roman" w:hAnsi="Times New Roman" w:cs="Times New Roman"/>
          <w:lang w:val="uk-UA"/>
        </w:rPr>
        <w:t xml:space="preserve"> НКРЕКП.</w:t>
      </w:r>
    </w:p>
    <w:p w:rsidR="003F7A74" w:rsidRPr="003F7A74" w:rsidRDefault="003F7A74" w:rsidP="003F7A74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lang w:val="uk-UA"/>
        </w:rPr>
      </w:pP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851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:rsidR="006B5AD9" w:rsidRDefault="006B5AD9" w:rsidP="006B5A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3D55" w:rsidRPr="006B5AD9" w:rsidRDefault="009D3D55">
      <w:pPr>
        <w:rPr>
          <w:lang w:val="uk-UA"/>
        </w:rPr>
      </w:pPr>
    </w:p>
    <w:sectPr w:rsidR="009D3D55" w:rsidRPr="006B5AD9" w:rsidSect="00D8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B6012B"/>
    <w:multiLevelType w:val="hybridMultilevel"/>
    <w:tmpl w:val="9A90FDB2"/>
    <w:lvl w:ilvl="0" w:tplc="5202A70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color w:val="auto"/>
      </w:rPr>
    </w:lvl>
    <w:lvl w:ilvl="1" w:tplc="75967024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E1E83"/>
    <w:multiLevelType w:val="hybridMultilevel"/>
    <w:tmpl w:val="E8CA1A2C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D9737C"/>
    <w:multiLevelType w:val="hybridMultilevel"/>
    <w:tmpl w:val="8C54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D9"/>
    <w:rsid w:val="003F7A74"/>
    <w:rsid w:val="006B5AD9"/>
    <w:rsid w:val="007905EB"/>
    <w:rsid w:val="00873050"/>
    <w:rsid w:val="009D3D55"/>
    <w:rsid w:val="00B2361B"/>
    <w:rsid w:val="00D8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A74"/>
    <w:rPr>
      <w:rFonts w:cs="Times New Roman"/>
      <w:b/>
    </w:rPr>
  </w:style>
  <w:style w:type="paragraph" w:customStyle="1" w:styleId="1">
    <w:name w:val="Обычный1"/>
    <w:link w:val="Normal"/>
    <w:rsid w:val="003F7A7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Normal">
    <w:name w:val="Normal Знак"/>
    <w:link w:val="1"/>
    <w:rsid w:val="003F7A74"/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uiPriority w:val="99"/>
    <w:qFormat/>
    <w:rsid w:val="00B2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23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BazaSvetlana</cp:lastModifiedBy>
  <cp:revision>6</cp:revision>
  <dcterms:created xsi:type="dcterms:W3CDTF">2022-10-24T08:36:00Z</dcterms:created>
  <dcterms:modified xsi:type="dcterms:W3CDTF">2023-11-14T12:47:00Z</dcterms:modified>
</cp:coreProperties>
</file>