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B13797" w:rsidRPr="00BA52DE" w:rsidTr="00603949">
        <w:tc>
          <w:tcPr>
            <w:tcW w:w="812" w:type="dxa"/>
            <w:shd w:val="clear" w:color="auto" w:fill="auto"/>
          </w:tcPr>
          <w:p w:rsidR="00B13797" w:rsidRPr="00BA52DE" w:rsidRDefault="00B13797" w:rsidP="00B13797">
            <w:pPr>
              <w:shd w:val="clear" w:color="auto" w:fill="FFFFFF"/>
              <w:suppressAutoHyphens/>
              <w:jc w:val="both"/>
              <w:textAlignment w:val="baseline"/>
              <w:rPr>
                <w:rFonts w:eastAsia="SimSun;宋体"/>
                <w:bCs/>
                <w:color w:val="000000"/>
                <w:sz w:val="24"/>
                <w:szCs w:val="24"/>
                <w:lang w:eastAsia="zh-CN"/>
              </w:rPr>
            </w:pPr>
            <w:bookmarkStart w:id="12" w:name="_GoBack" w:colFirst="1" w:colLast="3"/>
            <w:r w:rsidRPr="00BA52DE">
              <w:rPr>
                <w:rFonts w:eastAsia="SimSun;宋体"/>
                <w:bCs/>
                <w:color w:val="000000"/>
                <w:sz w:val="24"/>
                <w:szCs w:val="24"/>
                <w:lang w:eastAsia="zh-CN"/>
              </w:rPr>
              <w:t>1</w:t>
            </w:r>
          </w:p>
        </w:tc>
        <w:tc>
          <w:tcPr>
            <w:tcW w:w="3163" w:type="dxa"/>
            <w:shd w:val="clear" w:color="auto" w:fill="auto"/>
            <w:vAlign w:val="center"/>
          </w:tcPr>
          <w:p w:rsidR="00B13797" w:rsidRPr="00BA52DE" w:rsidRDefault="00B13797" w:rsidP="00B13797">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bCs/>
                <w:color w:val="000000"/>
                <w:sz w:val="24"/>
                <w:szCs w:val="24"/>
                <w:lang w:eastAsia="zh-CN"/>
              </w:rPr>
              <w:t>Філія в Запорізькій обл.</w:t>
            </w:r>
          </w:p>
        </w:tc>
        <w:tc>
          <w:tcPr>
            <w:tcW w:w="3990" w:type="dxa"/>
            <w:shd w:val="clear" w:color="auto" w:fill="auto"/>
          </w:tcPr>
          <w:p w:rsidR="00B13797" w:rsidRPr="00BA52DE" w:rsidRDefault="00B13797" w:rsidP="00B13797">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 xml:space="preserve">Дослідна станція, 94, </w:t>
            </w:r>
          </w:p>
          <w:p w:rsidR="00B13797" w:rsidRPr="00BA52DE" w:rsidRDefault="00B13797" w:rsidP="00B13797">
            <w:pPr>
              <w:shd w:val="clear" w:color="auto" w:fill="FFFFFF"/>
              <w:suppressAutoHyphens/>
              <w:jc w:val="both"/>
              <w:textAlignment w:val="baseline"/>
              <w:rPr>
                <w:rFonts w:eastAsia="SimSun;宋体"/>
                <w:bCs/>
                <w:color w:val="000000"/>
                <w:sz w:val="24"/>
                <w:szCs w:val="24"/>
                <w:lang w:eastAsia="zh-CN"/>
              </w:rPr>
            </w:pPr>
            <w:r>
              <w:rPr>
                <w:rFonts w:eastAsia="SimSun;宋体"/>
                <w:bCs/>
                <w:color w:val="000000"/>
                <w:sz w:val="24"/>
                <w:szCs w:val="24"/>
                <w:lang w:eastAsia="zh-CN"/>
              </w:rPr>
              <w:t>м. Запоріжжя</w:t>
            </w:r>
          </w:p>
        </w:tc>
        <w:tc>
          <w:tcPr>
            <w:tcW w:w="2032" w:type="dxa"/>
            <w:shd w:val="clear" w:color="auto" w:fill="auto"/>
          </w:tcPr>
          <w:p w:rsidR="00B13797" w:rsidRPr="00BA52DE" w:rsidRDefault="00B13797" w:rsidP="00B13797">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100</w:t>
            </w:r>
          </w:p>
        </w:tc>
      </w:tr>
      <w:bookmarkEnd w:id="12"/>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33" w:rsidRDefault="00E66833">
      <w:r>
        <w:separator/>
      </w:r>
    </w:p>
  </w:endnote>
  <w:endnote w:type="continuationSeparator" w:id="0">
    <w:p w:rsidR="00E66833" w:rsidRDefault="00E6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E66833">
    <w:pPr>
      <w:pStyle w:val="a3"/>
      <w:ind w:right="360"/>
      <w:rPr>
        <w:rFonts w:ascii="Arial" w:hAnsi="Arial" w:cs="Arial"/>
        <w:sz w:val="16"/>
        <w:szCs w:val="16"/>
      </w:rPr>
    </w:pPr>
  </w:p>
  <w:p w:rsidR="00BF672C" w:rsidRDefault="00E66833">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33" w:rsidRDefault="00E66833">
      <w:r>
        <w:separator/>
      </w:r>
    </w:p>
  </w:footnote>
  <w:footnote w:type="continuationSeparator" w:id="0">
    <w:p w:rsidR="00E66833" w:rsidRDefault="00E668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E5384"/>
    <w:rsid w:val="003F5601"/>
    <w:rsid w:val="00510931"/>
    <w:rsid w:val="005B216F"/>
    <w:rsid w:val="005E4789"/>
    <w:rsid w:val="006352F3"/>
    <w:rsid w:val="00644D8A"/>
    <w:rsid w:val="006B601A"/>
    <w:rsid w:val="006D48C3"/>
    <w:rsid w:val="00712D3F"/>
    <w:rsid w:val="00744C4A"/>
    <w:rsid w:val="008545D2"/>
    <w:rsid w:val="00971B76"/>
    <w:rsid w:val="00A34270"/>
    <w:rsid w:val="00AE229C"/>
    <w:rsid w:val="00B13797"/>
    <w:rsid w:val="00B63072"/>
    <w:rsid w:val="00B75282"/>
    <w:rsid w:val="00BA3E46"/>
    <w:rsid w:val="00BF4245"/>
    <w:rsid w:val="00C66CCD"/>
    <w:rsid w:val="00E26A70"/>
    <w:rsid w:val="00E66833"/>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2022-11-23T10:22:00Z</dcterms:modified>
</cp:coreProperties>
</file>