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5" w:rsidRPr="00161165" w:rsidRDefault="00161165" w:rsidP="003E76D6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3E76D6" w:rsidRPr="003E76D6" w:rsidRDefault="003E76D6" w:rsidP="0065360B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5360B" w:rsidRPr="0065360B" w:rsidRDefault="00CD005A" w:rsidP="0065360B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65360B" w:rsidRPr="0065360B">
        <w:rPr>
          <w:rFonts w:ascii="Times New Roman" w:hAnsi="Times New Roman"/>
          <w:b/>
          <w:sz w:val="24"/>
          <w:szCs w:val="24"/>
        </w:rPr>
        <w:t>ДОДАТОК №2</w:t>
      </w:r>
    </w:p>
    <w:p w:rsidR="0065360B" w:rsidRPr="0065360B" w:rsidRDefault="0065360B" w:rsidP="006536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65360B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653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65360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5360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53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65360B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65360B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Буряк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столовий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морква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столова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капуста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білоголова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цибуля </w:t>
      </w:r>
      <w:proofErr w:type="spellStart"/>
      <w:proofErr w:type="gram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р</w:t>
      </w:r>
      <w:proofErr w:type="gram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іпчаста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val="uk-UA" w:eastAsia="uk-UA"/>
        </w:rPr>
        <w:t>, яблука</w:t>
      </w:r>
    </w:p>
    <w:p w:rsidR="0065360B" w:rsidRPr="0065360B" w:rsidRDefault="0065360B" w:rsidP="0065360B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65360B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65360B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65360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65360B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 w:rsidRPr="0065360B">
        <w:rPr>
          <w:rFonts w:ascii="Times New Roman" w:hAnsi="Times New Roman"/>
          <w:i/>
          <w:sz w:val="24"/>
          <w:szCs w:val="24"/>
        </w:rPr>
        <w:t xml:space="preserve">ДК 021:2015: 03220000-9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Овочі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фрукти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горіхи</w:t>
      </w:r>
      <w:proofErr w:type="spellEnd"/>
    </w:p>
    <w:p w:rsidR="0065360B" w:rsidRPr="0065360B" w:rsidRDefault="0065360B" w:rsidP="0065360B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65360B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5360B">
        <w:rPr>
          <w:rFonts w:ascii="Times New Roman" w:hAnsi="Times New Roman"/>
          <w:b/>
          <w:sz w:val="24"/>
          <w:szCs w:val="24"/>
        </w:rPr>
        <w:t xml:space="preserve">ІЧНІ, ЯКІСНІ ТА КІЛЬКІСНІ </w:t>
      </w:r>
      <w:r w:rsidRPr="0065360B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65360B">
        <w:rPr>
          <w:rFonts w:ascii="Times New Roman" w:hAnsi="Times New Roman"/>
          <w:b/>
          <w:sz w:val="24"/>
          <w:szCs w:val="24"/>
        </w:rPr>
        <w:t>ХАРАКТЕРИСТИКИ ПРЕДМЕТА ЗАКУПІВЛІ.</w:t>
      </w: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65360B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65360B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65360B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65360B">
        <w:rPr>
          <w:rFonts w:ascii="Times New Roman" w:hAnsi="Times New Roman"/>
          <w:b/>
          <w:bCs/>
          <w:iCs/>
          <w:sz w:val="24"/>
          <w:szCs w:val="20"/>
        </w:rPr>
        <w:t xml:space="preserve">до </w:t>
      </w:r>
      <w:proofErr w:type="spellStart"/>
      <w:r w:rsidRPr="0065360B">
        <w:rPr>
          <w:rFonts w:ascii="Times New Roman" w:hAnsi="Times New Roman"/>
          <w:b/>
          <w:bCs/>
          <w:iCs/>
          <w:sz w:val="24"/>
          <w:szCs w:val="20"/>
        </w:rPr>
        <w:t>закупі</w:t>
      </w:r>
      <w:proofErr w:type="gramStart"/>
      <w:r w:rsidRPr="0065360B">
        <w:rPr>
          <w:rFonts w:ascii="Times New Roman" w:hAnsi="Times New Roman"/>
          <w:b/>
          <w:bCs/>
          <w:iCs/>
          <w:sz w:val="24"/>
          <w:szCs w:val="20"/>
        </w:rPr>
        <w:t>вл</w:t>
      </w:r>
      <w:proofErr w:type="gramEnd"/>
      <w:r w:rsidRPr="0065360B">
        <w:rPr>
          <w:rFonts w:ascii="Times New Roman" w:hAnsi="Times New Roman"/>
          <w:b/>
          <w:bCs/>
          <w:iCs/>
          <w:sz w:val="24"/>
          <w:szCs w:val="20"/>
        </w:rPr>
        <w:t>і</w:t>
      </w:r>
      <w:proofErr w:type="spellEnd"/>
      <w:r w:rsidRPr="0065360B">
        <w:rPr>
          <w:rFonts w:ascii="Times New Roman" w:hAnsi="Times New Roman"/>
          <w:b/>
          <w:bCs/>
          <w:iCs/>
          <w:sz w:val="24"/>
          <w:szCs w:val="20"/>
        </w:rPr>
        <w:t xml:space="preserve"> за предметом товару:</w:t>
      </w:r>
      <w:r w:rsidRPr="0065360B">
        <w:rPr>
          <w:rFonts w:ascii="Times New Roman" w:hAnsi="Times New Roman" w:cs="Times New Roman"/>
          <w:b/>
          <w:lang w:val="uk-UA"/>
        </w:rPr>
        <w:t xml:space="preserve"> </w:t>
      </w:r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Буряк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столовий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морква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столова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капуста </w:t>
      </w:r>
      <w:proofErr w:type="spell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білоголова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цибуля </w:t>
      </w:r>
      <w:proofErr w:type="spellStart"/>
      <w:proofErr w:type="gramStart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р</w:t>
      </w:r>
      <w:proofErr w:type="gramEnd"/>
      <w:r w:rsidRPr="0065360B">
        <w:rPr>
          <w:rFonts w:ascii="Times New Roman" w:hAnsi="Times New Roman"/>
          <w:b/>
          <w:iCs/>
          <w:sz w:val="24"/>
          <w:szCs w:val="24"/>
          <w:lang w:eastAsia="uk-UA"/>
        </w:rPr>
        <w:t>іпчаста</w:t>
      </w:r>
      <w:proofErr w:type="spellEnd"/>
      <w:r w:rsidRPr="0065360B">
        <w:rPr>
          <w:rFonts w:ascii="Times New Roman" w:hAnsi="Times New Roman"/>
          <w:b/>
          <w:iCs/>
          <w:sz w:val="24"/>
          <w:szCs w:val="24"/>
          <w:lang w:val="uk-UA" w:eastAsia="uk-UA"/>
        </w:rPr>
        <w:t>, яблука</w:t>
      </w:r>
    </w:p>
    <w:p w:rsidR="0065360B" w:rsidRPr="0065360B" w:rsidRDefault="0065360B" w:rsidP="0065360B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65360B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65360B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65360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65360B">
        <w:rPr>
          <w:rFonts w:ascii="Times New Roman" w:hAnsi="Times New Roman"/>
          <w:bCs/>
          <w:i/>
          <w:sz w:val="24"/>
          <w:szCs w:val="24"/>
        </w:rPr>
        <w:t xml:space="preserve"> словником </w:t>
      </w:r>
      <w:r w:rsidRPr="0065360B">
        <w:rPr>
          <w:rFonts w:ascii="Times New Roman" w:hAnsi="Times New Roman"/>
          <w:i/>
          <w:sz w:val="24"/>
          <w:szCs w:val="24"/>
        </w:rPr>
        <w:t xml:space="preserve">ДК 021:2015: 03220000-9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Овочі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фрукти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горіхи</w:t>
      </w:r>
      <w:proofErr w:type="spellEnd"/>
    </w:p>
    <w:p w:rsidR="0065360B" w:rsidRPr="0065360B" w:rsidRDefault="0065360B" w:rsidP="0065360B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65360B" w:rsidRPr="0065360B" w:rsidRDefault="0065360B" w:rsidP="0065360B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lang w:eastAsia="uk-UA"/>
        </w:rPr>
      </w:pPr>
    </w:p>
    <w:tbl>
      <w:tblPr>
        <w:tblW w:w="9373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4745"/>
        <w:gridCol w:w="1264"/>
        <w:gridCol w:w="2389"/>
      </w:tblGrid>
      <w:tr w:rsidR="0065360B" w:rsidRPr="0065360B" w:rsidTr="00F87338">
        <w:trPr>
          <w:trHeight w:val="790"/>
          <w:jc w:val="center"/>
        </w:trPr>
        <w:tc>
          <w:tcPr>
            <w:tcW w:w="975" w:type="dxa"/>
            <w:vAlign w:val="center"/>
          </w:tcPr>
          <w:p w:rsidR="0065360B" w:rsidRPr="0065360B" w:rsidRDefault="0065360B" w:rsidP="006536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360B">
              <w:rPr>
                <w:rFonts w:ascii="Times New Roman" w:hAnsi="Times New Roman"/>
                <w:b/>
              </w:rPr>
              <w:t>№</w:t>
            </w:r>
          </w:p>
          <w:p w:rsidR="0065360B" w:rsidRPr="0065360B" w:rsidRDefault="0065360B" w:rsidP="006536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360B">
              <w:rPr>
                <w:rFonts w:ascii="Times New Roman" w:hAnsi="Times New Roman"/>
                <w:b/>
              </w:rPr>
              <w:t>з/</w:t>
            </w:r>
            <w:proofErr w:type="gramStart"/>
            <w:r w:rsidRPr="0065360B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745" w:type="dxa"/>
            <w:vAlign w:val="center"/>
          </w:tcPr>
          <w:p w:rsidR="0065360B" w:rsidRPr="0065360B" w:rsidRDefault="0065360B" w:rsidP="006536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60B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65360B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1264" w:type="dxa"/>
            <w:vAlign w:val="center"/>
          </w:tcPr>
          <w:p w:rsidR="0065360B" w:rsidRPr="0065360B" w:rsidRDefault="0065360B" w:rsidP="006536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60B">
              <w:rPr>
                <w:rFonts w:ascii="Times New Roman" w:hAnsi="Times New Roman"/>
                <w:b/>
              </w:rPr>
              <w:t>Одиниця</w:t>
            </w:r>
            <w:proofErr w:type="spellEnd"/>
            <w:r w:rsidRPr="006536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360B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2389" w:type="dxa"/>
            <w:vAlign w:val="center"/>
          </w:tcPr>
          <w:p w:rsidR="0065360B" w:rsidRPr="0065360B" w:rsidRDefault="0065360B" w:rsidP="006536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60B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65360B">
              <w:rPr>
                <w:rFonts w:ascii="Times New Roman" w:hAnsi="Times New Roman"/>
                <w:b/>
              </w:rPr>
              <w:t xml:space="preserve">   </w:t>
            </w:r>
            <w:proofErr w:type="spellStart"/>
            <w:r w:rsidRPr="0065360B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975" w:type="dxa"/>
          </w:tcPr>
          <w:p w:rsidR="0065360B" w:rsidRPr="0065360B" w:rsidRDefault="0065360B" w:rsidP="0065360B">
            <w:pPr>
              <w:numPr>
                <w:ilvl w:val="0"/>
                <w:numId w:val="17"/>
              </w:numPr>
              <w:autoSpaceDN w:val="0"/>
              <w:spacing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745" w:type="dxa"/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 xml:space="preserve">Буряк </w:t>
            </w:r>
            <w:proofErr w:type="spellStart"/>
            <w:r w:rsidRPr="0065360B">
              <w:rPr>
                <w:rFonts w:ascii="Times New Roman" w:hAnsi="Times New Roman"/>
                <w:bCs/>
              </w:rPr>
              <w:t>столовий</w:t>
            </w:r>
            <w:proofErr w:type="spellEnd"/>
            <w:r w:rsidRPr="0065360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64" w:type="dxa"/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389" w:type="dxa"/>
          </w:tcPr>
          <w:p w:rsidR="0065360B" w:rsidRPr="0065360B" w:rsidRDefault="0065360B" w:rsidP="0065360B">
            <w:pPr>
              <w:spacing w:line="240" w:lineRule="auto"/>
              <w:ind w:right="467"/>
              <w:jc w:val="right"/>
              <w:rPr>
                <w:rFonts w:ascii="Times New Roman" w:hAnsi="Times New Roman"/>
              </w:rPr>
            </w:pPr>
            <w:r w:rsidRPr="0065360B">
              <w:rPr>
                <w:rFonts w:ascii="Times New Roman" w:hAnsi="Times New Roman"/>
                <w:lang w:val="uk-UA"/>
              </w:rPr>
              <w:t>20</w:t>
            </w:r>
            <w:r w:rsidRPr="0065360B">
              <w:rPr>
                <w:rFonts w:ascii="Times New Roman" w:hAnsi="Times New Roman"/>
              </w:rPr>
              <w:t>00,0</w:t>
            </w:r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975" w:type="dxa"/>
          </w:tcPr>
          <w:p w:rsidR="0065360B" w:rsidRPr="0065360B" w:rsidRDefault="0065360B" w:rsidP="0065360B">
            <w:pPr>
              <w:numPr>
                <w:ilvl w:val="0"/>
                <w:numId w:val="17"/>
              </w:numPr>
              <w:autoSpaceDN w:val="0"/>
              <w:spacing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745" w:type="dxa"/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</w:rPr>
            </w:pPr>
            <w:proofErr w:type="spellStart"/>
            <w:r w:rsidRPr="0065360B">
              <w:rPr>
                <w:rFonts w:ascii="Times New Roman" w:hAnsi="Times New Roman"/>
                <w:bCs/>
              </w:rPr>
              <w:t>Морква</w:t>
            </w:r>
            <w:proofErr w:type="spellEnd"/>
            <w:r w:rsidRPr="0065360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360B">
              <w:rPr>
                <w:rFonts w:ascii="Times New Roman" w:hAnsi="Times New Roman"/>
                <w:bCs/>
              </w:rPr>
              <w:t>столова</w:t>
            </w:r>
            <w:proofErr w:type="spellEnd"/>
            <w:r w:rsidRPr="0065360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64" w:type="dxa"/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389" w:type="dxa"/>
          </w:tcPr>
          <w:p w:rsidR="0065360B" w:rsidRPr="0065360B" w:rsidRDefault="0065360B" w:rsidP="0065360B">
            <w:pPr>
              <w:spacing w:line="240" w:lineRule="auto"/>
              <w:ind w:right="467"/>
              <w:jc w:val="right"/>
              <w:rPr>
                <w:rFonts w:ascii="Times New Roman" w:hAnsi="Times New Roman"/>
              </w:rPr>
            </w:pPr>
            <w:r w:rsidRPr="0065360B">
              <w:rPr>
                <w:rFonts w:ascii="Times New Roman" w:hAnsi="Times New Roman"/>
              </w:rPr>
              <w:t>1</w:t>
            </w:r>
            <w:r w:rsidRPr="0065360B">
              <w:rPr>
                <w:rFonts w:ascii="Times New Roman" w:hAnsi="Times New Roman"/>
                <w:lang w:val="uk-UA"/>
              </w:rPr>
              <w:t>5</w:t>
            </w:r>
            <w:r w:rsidRPr="0065360B">
              <w:rPr>
                <w:rFonts w:ascii="Times New Roman" w:hAnsi="Times New Roman"/>
              </w:rPr>
              <w:t>00,0</w:t>
            </w:r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975" w:type="dxa"/>
          </w:tcPr>
          <w:p w:rsidR="0065360B" w:rsidRPr="0065360B" w:rsidRDefault="0065360B" w:rsidP="0065360B">
            <w:pPr>
              <w:numPr>
                <w:ilvl w:val="0"/>
                <w:numId w:val="17"/>
              </w:numPr>
              <w:autoSpaceDN w:val="0"/>
              <w:spacing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745" w:type="dxa"/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 xml:space="preserve">Капуста </w:t>
            </w:r>
            <w:proofErr w:type="spellStart"/>
            <w:r w:rsidRPr="0065360B">
              <w:rPr>
                <w:rFonts w:ascii="Times New Roman" w:hAnsi="Times New Roman"/>
                <w:bCs/>
              </w:rPr>
              <w:t>білоголова</w:t>
            </w:r>
            <w:proofErr w:type="spellEnd"/>
            <w:r w:rsidRPr="0065360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64" w:type="dxa"/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389" w:type="dxa"/>
          </w:tcPr>
          <w:p w:rsidR="0065360B" w:rsidRPr="0065360B" w:rsidRDefault="0065360B" w:rsidP="0065360B">
            <w:pPr>
              <w:spacing w:line="240" w:lineRule="auto"/>
              <w:ind w:right="467"/>
              <w:jc w:val="right"/>
              <w:rPr>
                <w:rFonts w:ascii="Times New Roman" w:hAnsi="Times New Roman"/>
              </w:rPr>
            </w:pPr>
            <w:r w:rsidRPr="0065360B">
              <w:rPr>
                <w:rFonts w:ascii="Times New Roman" w:hAnsi="Times New Roman"/>
                <w:lang w:val="uk-UA"/>
              </w:rPr>
              <w:t>40</w:t>
            </w:r>
            <w:r w:rsidRPr="0065360B">
              <w:rPr>
                <w:rFonts w:ascii="Times New Roman" w:hAnsi="Times New Roman"/>
              </w:rPr>
              <w:t>00,0</w:t>
            </w:r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975" w:type="dxa"/>
          </w:tcPr>
          <w:p w:rsidR="0065360B" w:rsidRPr="0065360B" w:rsidRDefault="0065360B" w:rsidP="0065360B">
            <w:pPr>
              <w:numPr>
                <w:ilvl w:val="0"/>
                <w:numId w:val="17"/>
              </w:numPr>
              <w:autoSpaceDN w:val="0"/>
              <w:spacing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745" w:type="dxa"/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 xml:space="preserve">Цибуля </w:t>
            </w:r>
            <w:proofErr w:type="spellStart"/>
            <w:proofErr w:type="gramStart"/>
            <w:r w:rsidRPr="0065360B">
              <w:rPr>
                <w:rFonts w:ascii="Times New Roman" w:hAnsi="Times New Roman"/>
                <w:bCs/>
              </w:rPr>
              <w:t>р</w:t>
            </w:r>
            <w:proofErr w:type="gramEnd"/>
            <w:r w:rsidRPr="0065360B">
              <w:rPr>
                <w:rFonts w:ascii="Times New Roman" w:hAnsi="Times New Roman"/>
                <w:bCs/>
              </w:rPr>
              <w:t>іпчаста</w:t>
            </w:r>
            <w:proofErr w:type="spellEnd"/>
            <w:r w:rsidRPr="0065360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64" w:type="dxa"/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5360B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2389" w:type="dxa"/>
          </w:tcPr>
          <w:p w:rsidR="0065360B" w:rsidRPr="0065360B" w:rsidRDefault="0065360B" w:rsidP="0065360B">
            <w:pPr>
              <w:spacing w:line="240" w:lineRule="auto"/>
              <w:ind w:right="467"/>
              <w:jc w:val="right"/>
              <w:rPr>
                <w:rFonts w:ascii="Times New Roman" w:hAnsi="Times New Roman"/>
              </w:rPr>
            </w:pPr>
            <w:r w:rsidRPr="0065360B">
              <w:rPr>
                <w:rFonts w:ascii="Times New Roman" w:hAnsi="Times New Roman"/>
              </w:rPr>
              <w:t>1</w:t>
            </w:r>
            <w:r w:rsidRPr="0065360B">
              <w:rPr>
                <w:rFonts w:ascii="Times New Roman" w:hAnsi="Times New Roman"/>
                <w:lang w:val="uk-UA"/>
              </w:rPr>
              <w:t>2</w:t>
            </w:r>
            <w:r w:rsidRPr="0065360B">
              <w:rPr>
                <w:rFonts w:ascii="Times New Roman" w:hAnsi="Times New Roman"/>
              </w:rPr>
              <w:t>00,0</w:t>
            </w:r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975" w:type="dxa"/>
          </w:tcPr>
          <w:p w:rsidR="0065360B" w:rsidRPr="0065360B" w:rsidRDefault="0065360B" w:rsidP="0065360B">
            <w:pPr>
              <w:numPr>
                <w:ilvl w:val="0"/>
                <w:numId w:val="17"/>
              </w:numPr>
              <w:autoSpaceDN w:val="0"/>
              <w:spacing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4745" w:type="dxa"/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  <w:lang w:val="uk-UA"/>
              </w:rPr>
            </w:pPr>
            <w:r w:rsidRPr="0065360B">
              <w:rPr>
                <w:rFonts w:ascii="Times New Roman" w:hAnsi="Times New Roman"/>
                <w:bCs/>
                <w:lang w:val="uk-UA"/>
              </w:rPr>
              <w:t>Яблука</w:t>
            </w:r>
          </w:p>
        </w:tc>
        <w:tc>
          <w:tcPr>
            <w:tcW w:w="1264" w:type="dxa"/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5360B">
              <w:rPr>
                <w:rFonts w:ascii="Times New Roman" w:hAnsi="Times New Roman"/>
                <w:bCs/>
                <w:lang w:val="uk-UA"/>
              </w:rPr>
              <w:t>кг</w:t>
            </w:r>
          </w:p>
        </w:tc>
        <w:tc>
          <w:tcPr>
            <w:tcW w:w="2389" w:type="dxa"/>
          </w:tcPr>
          <w:p w:rsidR="0065360B" w:rsidRPr="0065360B" w:rsidRDefault="0065360B" w:rsidP="0065360B">
            <w:pPr>
              <w:spacing w:line="240" w:lineRule="auto"/>
              <w:ind w:right="467"/>
              <w:jc w:val="right"/>
              <w:rPr>
                <w:rFonts w:ascii="Times New Roman" w:hAnsi="Times New Roman"/>
                <w:lang w:val="uk-UA"/>
              </w:rPr>
            </w:pPr>
            <w:r w:rsidRPr="0065360B">
              <w:rPr>
                <w:rFonts w:ascii="Times New Roman" w:hAnsi="Times New Roman"/>
                <w:lang w:val="uk-UA"/>
              </w:rPr>
              <w:t>1700,0</w:t>
            </w:r>
          </w:p>
        </w:tc>
      </w:tr>
      <w:tr w:rsidR="0065360B" w:rsidRPr="0065360B" w:rsidTr="00F87338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/>
                <w:bCs/>
              </w:rPr>
            </w:pPr>
            <w:proofErr w:type="spellStart"/>
            <w:r w:rsidRPr="0065360B">
              <w:rPr>
                <w:rFonts w:ascii="Times New Roman" w:hAnsi="Times New Roman"/>
                <w:b/>
                <w:bCs/>
              </w:rPr>
              <w:t>Всього</w:t>
            </w:r>
            <w:proofErr w:type="spellEnd"/>
            <w:r w:rsidRPr="0065360B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B" w:rsidRPr="0065360B" w:rsidRDefault="0065360B" w:rsidP="0065360B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B" w:rsidRPr="0065360B" w:rsidRDefault="0065360B" w:rsidP="0065360B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B" w:rsidRPr="0065360B" w:rsidRDefault="0065360B" w:rsidP="0065360B">
            <w:pPr>
              <w:autoSpaceDN w:val="0"/>
              <w:spacing w:line="240" w:lineRule="auto"/>
              <w:ind w:right="396"/>
              <w:jc w:val="right"/>
              <w:rPr>
                <w:rFonts w:ascii="Times New Roman" w:hAnsi="Times New Roman"/>
              </w:rPr>
            </w:pPr>
            <w:r w:rsidRPr="0065360B">
              <w:rPr>
                <w:rFonts w:ascii="Times New Roman" w:hAnsi="Times New Roman"/>
                <w:b/>
                <w:lang w:val="uk-UA"/>
              </w:rPr>
              <w:t>10400</w:t>
            </w:r>
            <w:r w:rsidRPr="0065360B">
              <w:rPr>
                <w:rFonts w:ascii="Times New Roman" w:hAnsi="Times New Roman"/>
                <w:b/>
              </w:rPr>
              <w:t>,0</w:t>
            </w:r>
          </w:p>
        </w:tc>
      </w:tr>
    </w:tbl>
    <w:p w:rsidR="0065360B" w:rsidRPr="0065360B" w:rsidRDefault="0065360B" w:rsidP="0065360B">
      <w:pPr>
        <w:spacing w:line="240" w:lineRule="auto"/>
        <w:ind w:left="357" w:firstLine="567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65360B" w:rsidRPr="0065360B" w:rsidRDefault="0065360B" w:rsidP="0065360B">
      <w:pPr>
        <w:spacing w:line="240" w:lineRule="auto"/>
        <w:ind w:left="357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360B">
        <w:rPr>
          <w:rFonts w:ascii="Times New Roman" w:hAnsi="Times New Roman"/>
          <w:b/>
          <w:bCs/>
          <w:iCs/>
          <w:sz w:val="24"/>
          <w:szCs w:val="20"/>
        </w:rPr>
        <w:t xml:space="preserve">ІІ. </w:t>
      </w:r>
      <w:r w:rsidRPr="0065360B">
        <w:rPr>
          <w:rFonts w:ascii="Times New Roman" w:hAnsi="Times New Roman"/>
          <w:b/>
          <w:caps/>
          <w:sz w:val="28"/>
          <w:szCs w:val="28"/>
        </w:rPr>
        <w:t>Вимоги до предмета закупі</w:t>
      </w:r>
      <w:proofErr w:type="gramStart"/>
      <w:r w:rsidRPr="0065360B">
        <w:rPr>
          <w:rFonts w:ascii="Times New Roman" w:hAnsi="Times New Roman"/>
          <w:b/>
          <w:caps/>
          <w:sz w:val="28"/>
          <w:szCs w:val="28"/>
        </w:rPr>
        <w:t>вл</w:t>
      </w:r>
      <w:proofErr w:type="gramEnd"/>
      <w:r w:rsidRPr="0065360B">
        <w:rPr>
          <w:rFonts w:ascii="Times New Roman" w:hAnsi="Times New Roman"/>
          <w:b/>
          <w:caps/>
          <w:sz w:val="28"/>
          <w:szCs w:val="28"/>
        </w:rPr>
        <w:t>і: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2.1. Поставка товару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протязі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3-х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з моменту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письмової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усної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заявки. 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5360B">
        <w:rPr>
          <w:rFonts w:ascii="Times New Roman" w:hAnsi="Times New Roman"/>
          <w:sz w:val="24"/>
          <w:szCs w:val="24"/>
        </w:rPr>
        <w:t>Харчові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які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360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5360B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360B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65360B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заходам і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техн</w:t>
      </w:r>
      <w:proofErr w:type="gramEnd"/>
      <w:r w:rsidRPr="0065360B">
        <w:rPr>
          <w:rFonts w:ascii="Times New Roman" w:hAnsi="Times New Roman"/>
          <w:sz w:val="24"/>
          <w:szCs w:val="24"/>
        </w:rPr>
        <w:t>ічним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регламентам.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60B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стандарті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5360B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5360B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sz w:val="24"/>
          <w:szCs w:val="24"/>
        </w:rPr>
        <w:t>вимоги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360B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sz w:val="24"/>
          <w:szCs w:val="24"/>
        </w:rPr>
        <w:t>якості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5360B">
        <w:rPr>
          <w:rFonts w:ascii="Times New Roman" w:hAnsi="Times New Roman"/>
          <w:sz w:val="24"/>
          <w:szCs w:val="24"/>
        </w:rPr>
        <w:t xml:space="preserve">»,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ГМО.</w:t>
      </w:r>
    </w:p>
    <w:p w:rsidR="0065360B" w:rsidRPr="0065360B" w:rsidRDefault="0065360B" w:rsidP="0065360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2.3. </w:t>
      </w:r>
      <w:proofErr w:type="spellStart"/>
      <w:proofErr w:type="gramStart"/>
      <w:r w:rsidRPr="0065360B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5360B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до товару,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є предметом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>: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2.3.1. Буряк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столовий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5360B">
        <w:rPr>
          <w:rFonts w:ascii="Times New Roman" w:hAnsi="Times New Roman"/>
          <w:sz w:val="24"/>
          <w:szCs w:val="24"/>
        </w:rPr>
        <w:t>коренеплоди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св</w:t>
      </w:r>
      <w:proofErr w:type="gramEnd"/>
      <w:r w:rsidRPr="0065360B">
        <w:rPr>
          <w:rFonts w:ascii="Times New Roman" w:hAnsi="Times New Roman"/>
          <w:sz w:val="24"/>
          <w:szCs w:val="24"/>
        </w:rPr>
        <w:t>іжі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цілі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здорові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чисті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сухі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тріщин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проростання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гнилі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. Форма та </w:t>
      </w:r>
      <w:proofErr w:type="spellStart"/>
      <w:r w:rsidRPr="0065360B">
        <w:rPr>
          <w:rFonts w:ascii="Times New Roman" w:hAnsi="Times New Roman"/>
          <w:sz w:val="24"/>
          <w:szCs w:val="24"/>
        </w:rPr>
        <w:t>колір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ботанічному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сорту.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Розмі</w:t>
      </w:r>
      <w:proofErr w:type="gramStart"/>
      <w:r w:rsidRPr="0065360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овочу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360B">
        <w:rPr>
          <w:rFonts w:ascii="Times New Roman" w:hAnsi="Times New Roman"/>
          <w:sz w:val="24"/>
          <w:szCs w:val="24"/>
        </w:rPr>
        <w:t>діаметрі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65360B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менше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8см.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Розфасований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сітки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вагою 20-25кг.,  без ГМО.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2.3.2.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Морква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столова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65360B">
        <w:rPr>
          <w:rFonts w:ascii="Times New Roman" w:hAnsi="Times New Roman"/>
          <w:sz w:val="24"/>
          <w:szCs w:val="24"/>
        </w:rPr>
        <w:t>коренеплоди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св</w:t>
      </w:r>
      <w:proofErr w:type="gramEnd"/>
      <w:r w:rsidRPr="0065360B">
        <w:rPr>
          <w:rFonts w:ascii="Times New Roman" w:hAnsi="Times New Roman"/>
          <w:sz w:val="24"/>
          <w:szCs w:val="24"/>
        </w:rPr>
        <w:t>іжі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цілі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здорові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чисті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сухі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тріщин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проростання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гнилі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. Форма та </w:t>
      </w:r>
      <w:proofErr w:type="spellStart"/>
      <w:r w:rsidRPr="0065360B">
        <w:rPr>
          <w:rFonts w:ascii="Times New Roman" w:hAnsi="Times New Roman"/>
          <w:sz w:val="24"/>
          <w:szCs w:val="24"/>
        </w:rPr>
        <w:t>колір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ботанічному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сорту. </w:t>
      </w:r>
      <w:proofErr w:type="spellStart"/>
      <w:r w:rsidRPr="0065360B">
        <w:rPr>
          <w:rFonts w:ascii="Times New Roman" w:hAnsi="Times New Roman"/>
          <w:sz w:val="24"/>
          <w:szCs w:val="24"/>
        </w:rPr>
        <w:t>Довжина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овочу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10-15см.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Розфасована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сітки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вагою 20-25кг, без ГМО.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2.3.3. Капуста 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білокачанна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r w:rsidRPr="0065360B">
        <w:rPr>
          <w:rFonts w:ascii="Times New Roman" w:hAnsi="Times New Roman"/>
          <w:sz w:val="24"/>
          <w:szCs w:val="24"/>
        </w:rPr>
        <w:t xml:space="preserve">- головки </w:t>
      </w:r>
      <w:proofErr w:type="spellStart"/>
      <w:r w:rsidRPr="0065360B">
        <w:rPr>
          <w:rFonts w:ascii="Times New Roman" w:hAnsi="Times New Roman"/>
          <w:sz w:val="24"/>
          <w:szCs w:val="24"/>
        </w:rPr>
        <w:t>капусти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5360B">
        <w:rPr>
          <w:rFonts w:ascii="Times New Roman" w:hAnsi="Times New Roman"/>
          <w:sz w:val="24"/>
          <w:szCs w:val="24"/>
        </w:rPr>
        <w:t>зеленими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або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білими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щільними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до сорту), </w:t>
      </w:r>
      <w:proofErr w:type="spellStart"/>
      <w:r w:rsidRPr="0065360B">
        <w:rPr>
          <w:rFonts w:ascii="Times New Roman" w:hAnsi="Times New Roman"/>
          <w:sz w:val="24"/>
          <w:szCs w:val="24"/>
        </w:rPr>
        <w:t>цілими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здоровими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в’ялими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тр</w:t>
      </w:r>
      <w:proofErr w:type="gramEnd"/>
      <w:r w:rsidRPr="0065360B">
        <w:rPr>
          <w:rFonts w:ascii="Times New Roman" w:hAnsi="Times New Roman"/>
          <w:sz w:val="24"/>
          <w:szCs w:val="24"/>
        </w:rPr>
        <w:t>іщин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проростання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сільськогосподарськими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шкідниками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надмірної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зовнішньої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вологості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гнилі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вагою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менше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1кг.,  головки </w:t>
      </w:r>
      <w:proofErr w:type="spellStart"/>
      <w:r w:rsidRPr="0065360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5360B">
        <w:rPr>
          <w:rFonts w:ascii="Times New Roman" w:hAnsi="Times New Roman"/>
          <w:sz w:val="24"/>
          <w:szCs w:val="24"/>
        </w:rPr>
        <w:t>зачищені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360B">
        <w:rPr>
          <w:rFonts w:ascii="Times New Roman" w:hAnsi="Times New Roman"/>
          <w:sz w:val="24"/>
          <w:szCs w:val="24"/>
        </w:rPr>
        <w:t>щільно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прилеглих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зелених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або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білих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листків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Розфасована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сітки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вагою 20-25кг., без ГМО.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2.3.4. Цибуля - </w:t>
      </w:r>
      <w:r w:rsidRPr="0065360B">
        <w:rPr>
          <w:rFonts w:ascii="Times New Roman" w:hAnsi="Times New Roman"/>
          <w:sz w:val="24"/>
          <w:szCs w:val="24"/>
        </w:rPr>
        <w:t xml:space="preserve">головки </w:t>
      </w:r>
      <w:proofErr w:type="spellStart"/>
      <w:r w:rsidRPr="0065360B">
        <w:rPr>
          <w:rFonts w:ascii="Times New Roman" w:hAnsi="Times New Roman"/>
          <w:sz w:val="24"/>
          <w:szCs w:val="24"/>
        </w:rPr>
        <w:t>цибулі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5360B">
        <w:rPr>
          <w:rFonts w:ascii="Times New Roman" w:hAnsi="Times New Roman"/>
          <w:sz w:val="24"/>
          <w:szCs w:val="24"/>
        </w:rPr>
        <w:t>щільними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цілими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здоровими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чистими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в’ялими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цибулини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дозрілі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65360B">
        <w:rPr>
          <w:rFonts w:ascii="Times New Roman" w:hAnsi="Times New Roman"/>
          <w:sz w:val="24"/>
          <w:szCs w:val="24"/>
        </w:rPr>
        <w:t>пророслі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з сухим </w:t>
      </w:r>
      <w:proofErr w:type="spellStart"/>
      <w:r w:rsidRPr="0065360B">
        <w:rPr>
          <w:rFonts w:ascii="Times New Roman" w:hAnsi="Times New Roman"/>
          <w:sz w:val="24"/>
          <w:szCs w:val="24"/>
        </w:rPr>
        <w:t>зовнішнім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цибулинням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тр</w:t>
      </w:r>
      <w:proofErr w:type="gramEnd"/>
      <w:r w:rsidRPr="0065360B">
        <w:rPr>
          <w:rFonts w:ascii="Times New Roman" w:hAnsi="Times New Roman"/>
          <w:sz w:val="24"/>
          <w:szCs w:val="24"/>
        </w:rPr>
        <w:t>іщин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сільськогосподарськими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шкідниками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надмірної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зовнішньої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вологості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65360B">
        <w:rPr>
          <w:rFonts w:ascii="Times New Roman" w:hAnsi="Times New Roman"/>
          <w:sz w:val="24"/>
          <w:szCs w:val="24"/>
        </w:rPr>
        <w:t>ознак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гнилі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. Форма та </w:t>
      </w:r>
      <w:proofErr w:type="spellStart"/>
      <w:r w:rsidRPr="0065360B">
        <w:rPr>
          <w:rFonts w:ascii="Times New Roman" w:hAnsi="Times New Roman"/>
          <w:sz w:val="24"/>
          <w:szCs w:val="24"/>
        </w:rPr>
        <w:t>колір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ботанічному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сорту. 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Розмі</w:t>
      </w:r>
      <w:proofErr w:type="gramStart"/>
      <w:r w:rsidRPr="0065360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овочу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360B">
        <w:rPr>
          <w:rFonts w:ascii="Times New Roman" w:hAnsi="Times New Roman"/>
          <w:sz w:val="24"/>
          <w:szCs w:val="24"/>
        </w:rPr>
        <w:t>діаметрі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65360B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6 до 8см. </w:t>
      </w:r>
      <w:proofErr w:type="spellStart"/>
      <w:r w:rsidRPr="0065360B">
        <w:rPr>
          <w:rFonts w:ascii="Times New Roman" w:hAnsi="Times New Roman"/>
          <w:sz w:val="24"/>
          <w:szCs w:val="24"/>
        </w:rPr>
        <w:t>Розфасована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0B">
        <w:rPr>
          <w:rFonts w:ascii="Times New Roman" w:hAnsi="Times New Roman"/>
          <w:sz w:val="24"/>
          <w:szCs w:val="24"/>
        </w:rPr>
        <w:t>в</w:t>
      </w:r>
      <w:proofErr w:type="gram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сітки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вагою 20-25кг., без ГМО.</w:t>
      </w: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360B">
        <w:rPr>
          <w:rFonts w:ascii="Times New Roman" w:hAnsi="Times New Roman"/>
          <w:b/>
          <w:sz w:val="24"/>
          <w:szCs w:val="24"/>
          <w:lang w:val="uk-UA"/>
        </w:rPr>
        <w:t>2.3.5. Яблука -</w:t>
      </w:r>
      <w:r w:rsidRPr="0065360B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65360B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Плоди яблук мають бути стиглими, чистими, без пошкоджень шкідниками і хворобами, без ознак гнилі, з плодоніжкою і без неї, без пошкоджень шкірки плоду. М’якоть за консистенцією повинна бути соковита, колір – відповідно до сорту, без плям.</w:t>
      </w:r>
      <w:r w:rsidRPr="0065360B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65360B">
        <w:rPr>
          <w:rFonts w:ascii="Times New Roman" w:hAnsi="Times New Roman" w:cs="Times New Roman"/>
          <w:sz w:val="24"/>
          <w:szCs w:val="24"/>
          <w:lang w:val="uk-UA" w:eastAsia="en-US"/>
        </w:rPr>
        <w:t>Транспортування повинно здійснюватись за правилами перевезення згідно ДСТУ.</w:t>
      </w:r>
    </w:p>
    <w:p w:rsidR="0065360B" w:rsidRPr="0065360B" w:rsidRDefault="0065360B" w:rsidP="0065360B">
      <w:pPr>
        <w:spacing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5360B" w:rsidRPr="0065360B" w:rsidRDefault="0065360B" w:rsidP="0065360B">
      <w:pPr>
        <w:spacing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5360B" w:rsidRPr="0065360B" w:rsidRDefault="0065360B" w:rsidP="0065360B">
      <w:pPr>
        <w:spacing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360B">
        <w:rPr>
          <w:rFonts w:ascii="Times New Roman" w:hAnsi="Times New Roman"/>
          <w:b/>
          <w:caps/>
          <w:sz w:val="28"/>
          <w:szCs w:val="28"/>
        </w:rPr>
        <w:t>ііі. Загальні вимоги:</w:t>
      </w:r>
    </w:p>
    <w:p w:rsidR="0065360B" w:rsidRPr="0065360B" w:rsidRDefault="0065360B" w:rsidP="0065360B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>3.1.</w:t>
      </w:r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автотранспортом</w:t>
      </w:r>
      <w:r w:rsidRPr="0065360B">
        <w:rPr>
          <w:rFonts w:ascii="Times New Roman" w:hAnsi="Times New Roman" w:cs="Times New Roman"/>
          <w:sz w:val="24"/>
          <w:szCs w:val="24"/>
          <w:lang w:val="uk-UA"/>
        </w:rPr>
        <w:t xml:space="preserve"> партіями, згідно заявки Замовника з моменту </w:t>
      </w:r>
      <w:proofErr w:type="gramStart"/>
      <w:r w:rsidRPr="0065360B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65360B">
        <w:rPr>
          <w:rFonts w:ascii="Times New Roman" w:hAnsi="Times New Roman" w:cs="Times New Roman"/>
          <w:sz w:val="24"/>
          <w:szCs w:val="24"/>
          <w:lang w:val="uk-UA"/>
        </w:rPr>
        <w:t>ідписання договору по 31.07.2024р</w:t>
      </w:r>
      <w:r w:rsidRPr="0065360B">
        <w:rPr>
          <w:rFonts w:ascii="Times New Roman" w:hAnsi="Times New Roman" w:cs="Times New Roman"/>
          <w:sz w:val="24"/>
          <w:szCs w:val="24"/>
        </w:rPr>
        <w:t>.</w:t>
      </w:r>
      <w:r w:rsidRPr="0065360B">
        <w:rPr>
          <w:rFonts w:ascii="Times New Roman" w:hAnsi="Times New Roman" w:cs="Times New Roman"/>
          <w:sz w:val="24"/>
          <w:szCs w:val="24"/>
          <w:lang w:val="uk-UA"/>
        </w:rPr>
        <w:t xml:space="preserve"> ( Надати гарантійний лист на виконання даної вимоги).</w:t>
      </w:r>
      <w:r w:rsidRPr="0065360B">
        <w:t xml:space="preserve"> </w:t>
      </w:r>
    </w:p>
    <w:p w:rsidR="0065360B" w:rsidRPr="0065360B" w:rsidRDefault="0065360B" w:rsidP="0065360B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360B">
        <w:rPr>
          <w:rFonts w:ascii="Times New Roman" w:hAnsi="Times New Roman"/>
          <w:b/>
          <w:sz w:val="24"/>
          <w:szCs w:val="24"/>
        </w:rPr>
        <w:t>3.2.</w:t>
      </w:r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Кожна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партія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65360B">
        <w:rPr>
          <w:rFonts w:ascii="Times New Roman" w:hAnsi="Times New Roman"/>
          <w:sz w:val="24"/>
          <w:szCs w:val="24"/>
        </w:rPr>
        <w:t>супроводжуватись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65360B">
        <w:rPr>
          <w:rFonts w:ascii="Times New Roman" w:hAnsi="Times New Roman"/>
          <w:sz w:val="24"/>
          <w:szCs w:val="24"/>
        </w:rPr>
        <w:t>що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/>
          <w:sz w:val="24"/>
          <w:szCs w:val="24"/>
        </w:rPr>
        <w:t>п</w:t>
      </w:r>
      <w:proofErr w:type="gramEnd"/>
      <w:r w:rsidRPr="0065360B">
        <w:rPr>
          <w:rFonts w:ascii="Times New Roman" w:hAnsi="Times New Roman"/>
          <w:sz w:val="24"/>
          <w:szCs w:val="24"/>
        </w:rPr>
        <w:t>ідтверджують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їх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sz w:val="24"/>
          <w:szCs w:val="24"/>
        </w:rPr>
        <w:t>якість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5360B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65360B">
        <w:rPr>
          <w:rFonts w:ascii="Times New Roman" w:hAnsi="Times New Roman"/>
          <w:sz w:val="24"/>
          <w:szCs w:val="24"/>
        </w:rPr>
        <w:t>посвідчення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65360B">
        <w:rPr>
          <w:rFonts w:ascii="Times New Roman" w:hAnsi="Times New Roman"/>
          <w:sz w:val="24"/>
          <w:szCs w:val="24"/>
        </w:rPr>
        <w:t>якість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sz w:val="24"/>
          <w:szCs w:val="24"/>
        </w:rPr>
        <w:t>декларація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653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sz w:val="24"/>
          <w:szCs w:val="24"/>
        </w:rPr>
        <w:t>тощо</w:t>
      </w:r>
      <w:proofErr w:type="spellEnd"/>
      <w:r w:rsidRPr="0065360B">
        <w:rPr>
          <w:rFonts w:ascii="Times New Roman" w:hAnsi="Times New Roman"/>
          <w:sz w:val="24"/>
          <w:szCs w:val="24"/>
        </w:rPr>
        <w:t>) (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Учасники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процедури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закупівлі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повинні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складі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тендерних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пропозицій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довідку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довільній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формі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гарантію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подання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якісного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посвідчення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при </w:t>
      </w:r>
      <w:proofErr w:type="spellStart"/>
      <w:r w:rsidRPr="0065360B">
        <w:rPr>
          <w:rFonts w:ascii="Times New Roman" w:hAnsi="Times New Roman"/>
          <w:b/>
          <w:sz w:val="24"/>
          <w:szCs w:val="24"/>
          <w:u w:val="single"/>
        </w:rPr>
        <w:t>поставці</w:t>
      </w:r>
      <w:proofErr w:type="spellEnd"/>
      <w:r w:rsidRPr="0065360B">
        <w:rPr>
          <w:rFonts w:ascii="Times New Roman" w:hAnsi="Times New Roman"/>
          <w:b/>
          <w:sz w:val="24"/>
          <w:szCs w:val="24"/>
          <w:u w:val="single"/>
        </w:rPr>
        <w:t xml:space="preserve"> товару).</w:t>
      </w:r>
    </w:p>
    <w:p w:rsidR="0065360B" w:rsidRPr="0065360B" w:rsidRDefault="0065360B" w:rsidP="0065360B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3.3. </w:t>
      </w:r>
      <w:r w:rsidRPr="0065360B">
        <w:rPr>
          <w:rFonts w:ascii="Times New Roman" w:hAnsi="Times New Roman"/>
        </w:rPr>
        <w:t xml:space="preserve"> На момент поставки </w:t>
      </w:r>
      <w:proofErr w:type="spellStart"/>
      <w:r w:rsidRPr="0065360B">
        <w:rPr>
          <w:rFonts w:ascii="Times New Roman" w:hAnsi="Times New Roman"/>
        </w:rPr>
        <w:t>термін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придатності</w:t>
      </w:r>
      <w:proofErr w:type="spellEnd"/>
      <w:r w:rsidRPr="0065360B">
        <w:rPr>
          <w:rFonts w:ascii="Times New Roman" w:hAnsi="Times New Roman"/>
        </w:rPr>
        <w:t xml:space="preserve"> до </w:t>
      </w:r>
      <w:proofErr w:type="spellStart"/>
      <w:r w:rsidRPr="0065360B">
        <w:rPr>
          <w:rFonts w:ascii="Times New Roman" w:hAnsi="Times New Roman"/>
        </w:rPr>
        <w:t>споживання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кожної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окремої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партії</w:t>
      </w:r>
      <w:proofErr w:type="spellEnd"/>
      <w:r w:rsidRPr="0065360B">
        <w:rPr>
          <w:rFonts w:ascii="Times New Roman" w:hAnsi="Times New Roman"/>
        </w:rPr>
        <w:t xml:space="preserve"> товару </w:t>
      </w:r>
      <w:proofErr w:type="spellStart"/>
      <w:r w:rsidRPr="0065360B">
        <w:rPr>
          <w:rFonts w:ascii="Times New Roman" w:hAnsi="Times New Roman"/>
        </w:rPr>
        <w:t>має</w:t>
      </w:r>
      <w:proofErr w:type="spellEnd"/>
      <w:r w:rsidRPr="0065360B">
        <w:rPr>
          <w:rFonts w:ascii="Times New Roman" w:hAnsi="Times New Roman"/>
        </w:rPr>
        <w:t xml:space="preserve"> бути не </w:t>
      </w:r>
      <w:proofErr w:type="spellStart"/>
      <w:r w:rsidRPr="0065360B">
        <w:rPr>
          <w:rFonts w:ascii="Times New Roman" w:hAnsi="Times New Roman"/>
        </w:rPr>
        <w:t>меншим</w:t>
      </w:r>
      <w:proofErr w:type="spellEnd"/>
      <w:r w:rsidRPr="0065360B">
        <w:rPr>
          <w:rFonts w:ascii="Times New Roman" w:hAnsi="Times New Roman"/>
        </w:rPr>
        <w:t xml:space="preserve">, </w:t>
      </w:r>
      <w:proofErr w:type="spellStart"/>
      <w:proofErr w:type="gramStart"/>
      <w:r w:rsidRPr="0065360B">
        <w:rPr>
          <w:rFonts w:ascii="Times New Roman" w:hAnsi="Times New Roman"/>
        </w:rPr>
        <w:t>ніж</w:t>
      </w:r>
      <w:proofErr w:type="spellEnd"/>
      <w:proofErr w:type="gramEnd"/>
      <w:r w:rsidRPr="0065360B">
        <w:rPr>
          <w:rFonts w:ascii="Times New Roman" w:hAnsi="Times New Roman"/>
        </w:rPr>
        <w:t xml:space="preserve"> 85 % </w:t>
      </w:r>
      <w:proofErr w:type="spellStart"/>
      <w:r w:rsidRPr="0065360B">
        <w:rPr>
          <w:rFonts w:ascii="Times New Roman" w:hAnsi="Times New Roman"/>
        </w:rPr>
        <w:t>від</w:t>
      </w:r>
      <w:proofErr w:type="spellEnd"/>
      <w:r w:rsidRPr="0065360B">
        <w:rPr>
          <w:rFonts w:ascii="Times New Roman" w:hAnsi="Times New Roman"/>
        </w:rPr>
        <w:t xml:space="preserve"> нормативного </w:t>
      </w:r>
      <w:proofErr w:type="spellStart"/>
      <w:r w:rsidRPr="0065360B">
        <w:rPr>
          <w:rFonts w:ascii="Times New Roman" w:hAnsi="Times New Roman"/>
        </w:rPr>
        <w:t>терміну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придатності</w:t>
      </w:r>
      <w:proofErr w:type="spellEnd"/>
      <w:r w:rsidRPr="0065360B">
        <w:rPr>
          <w:rFonts w:ascii="Times New Roman" w:hAnsi="Times New Roman"/>
        </w:rPr>
        <w:t xml:space="preserve"> до </w:t>
      </w:r>
      <w:proofErr w:type="spellStart"/>
      <w:r w:rsidRPr="0065360B">
        <w:rPr>
          <w:rFonts w:ascii="Times New Roman" w:hAnsi="Times New Roman"/>
        </w:rPr>
        <w:t>споживання</w:t>
      </w:r>
      <w:proofErr w:type="spellEnd"/>
      <w:r w:rsidRPr="0065360B">
        <w:rPr>
          <w:rFonts w:ascii="Times New Roman" w:hAnsi="Times New Roman"/>
        </w:rPr>
        <w:t xml:space="preserve">, </w:t>
      </w:r>
      <w:proofErr w:type="spellStart"/>
      <w:r w:rsidRPr="0065360B">
        <w:rPr>
          <w:rFonts w:ascii="Times New Roman" w:hAnsi="Times New Roman"/>
        </w:rPr>
        <w:t>починаючи</w:t>
      </w:r>
      <w:proofErr w:type="spellEnd"/>
      <w:r w:rsidRPr="0065360B">
        <w:rPr>
          <w:rFonts w:ascii="Times New Roman" w:hAnsi="Times New Roman"/>
        </w:rPr>
        <w:t xml:space="preserve"> з дня </w:t>
      </w:r>
      <w:proofErr w:type="spellStart"/>
      <w:r w:rsidRPr="0065360B">
        <w:rPr>
          <w:rFonts w:ascii="Times New Roman" w:hAnsi="Times New Roman"/>
        </w:rPr>
        <w:t>отримання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кожної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окремої</w:t>
      </w:r>
      <w:proofErr w:type="spellEnd"/>
      <w:r w:rsidRPr="0065360B">
        <w:rPr>
          <w:rFonts w:ascii="Times New Roman" w:hAnsi="Times New Roman"/>
        </w:rPr>
        <w:t xml:space="preserve"> </w:t>
      </w:r>
      <w:proofErr w:type="spellStart"/>
      <w:r w:rsidRPr="0065360B">
        <w:rPr>
          <w:rFonts w:ascii="Times New Roman" w:hAnsi="Times New Roman"/>
        </w:rPr>
        <w:t>партії</w:t>
      </w:r>
      <w:proofErr w:type="spellEnd"/>
      <w:r w:rsidRPr="0065360B">
        <w:rPr>
          <w:rFonts w:ascii="Times New Roman" w:hAnsi="Times New Roman"/>
        </w:rPr>
        <w:t xml:space="preserve"> товару.</w:t>
      </w:r>
    </w:p>
    <w:p w:rsidR="0065360B" w:rsidRPr="0065360B" w:rsidRDefault="0065360B" w:rsidP="0065360B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3.4.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автотранспорту, 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r w:rsidRPr="0065360B">
        <w:rPr>
          <w:rFonts w:ascii="Times New Roman" w:hAnsi="Times New Roman" w:cs="Times New Roman"/>
          <w:sz w:val="24"/>
          <w:szCs w:val="24"/>
          <w:lang w:val="uk-UA"/>
        </w:rPr>
        <w:t>особисті медичні</w:t>
      </w:r>
      <w:r w:rsidRPr="0065360B">
        <w:rPr>
          <w:rFonts w:ascii="Times New Roman" w:hAnsi="Times New Roman" w:cs="Times New Roman"/>
          <w:sz w:val="24"/>
          <w:szCs w:val="24"/>
        </w:rPr>
        <w:t xml:space="preserve"> книжки та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 w:rsidRPr="006536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60B" w:rsidRPr="0065360B" w:rsidRDefault="0065360B" w:rsidP="0065360B">
      <w:pPr>
        <w:tabs>
          <w:tab w:val="num" w:pos="502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0B">
        <w:rPr>
          <w:rFonts w:ascii="Times New Roman" w:hAnsi="Times New Roman" w:cs="Times New Roman"/>
          <w:b/>
          <w:sz w:val="24"/>
          <w:szCs w:val="24"/>
          <w:lang w:val="uk-UA"/>
        </w:rPr>
        <w:t>3.5.</w:t>
      </w:r>
      <w:r w:rsidRPr="00653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536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за собою право у будь-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65360B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65360B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існуючого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>.</w:t>
      </w:r>
    </w:p>
    <w:p w:rsidR="0065360B" w:rsidRPr="0065360B" w:rsidRDefault="0065360B" w:rsidP="0065360B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0B">
        <w:rPr>
          <w:rFonts w:ascii="Times New Roman" w:hAnsi="Times New Roman" w:cs="Times New Roman"/>
          <w:b/>
          <w:sz w:val="24"/>
          <w:szCs w:val="24"/>
          <w:lang w:val="uk-UA"/>
        </w:rPr>
        <w:t>3.6.</w:t>
      </w:r>
      <w:r w:rsidRPr="00653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360B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5360B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5360B">
        <w:rPr>
          <w:rFonts w:ascii="Times New Roman" w:hAnsi="Times New Roman" w:cs="Times New Roman"/>
          <w:sz w:val="24"/>
          <w:szCs w:val="24"/>
        </w:rPr>
        <w:t>.</w:t>
      </w:r>
    </w:p>
    <w:p w:rsidR="0065360B" w:rsidRPr="0065360B" w:rsidRDefault="0065360B" w:rsidP="0065360B">
      <w:pPr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360B">
        <w:rPr>
          <w:rFonts w:ascii="Times New Roman" w:hAnsi="Times New Roman"/>
          <w:b/>
          <w:sz w:val="24"/>
          <w:szCs w:val="24"/>
        </w:rPr>
        <w:t>3.</w:t>
      </w:r>
      <w:r w:rsidRPr="0065360B">
        <w:rPr>
          <w:rFonts w:ascii="Times New Roman" w:hAnsi="Times New Roman"/>
          <w:b/>
          <w:sz w:val="24"/>
          <w:szCs w:val="24"/>
          <w:lang w:val="uk-UA"/>
        </w:rPr>
        <w:t>7</w:t>
      </w:r>
      <w:r w:rsidRPr="0065360B">
        <w:rPr>
          <w:rFonts w:ascii="Times New Roman" w:hAnsi="Times New Roman"/>
          <w:b/>
          <w:sz w:val="24"/>
          <w:szCs w:val="24"/>
        </w:rPr>
        <w:t>.</w:t>
      </w:r>
      <w:r w:rsidRPr="0065360B">
        <w:rPr>
          <w:rFonts w:ascii="Times New Roman" w:hAnsi="Times New Roman"/>
          <w:sz w:val="24"/>
          <w:szCs w:val="24"/>
        </w:rPr>
        <w:t xml:space="preserve"> </w:t>
      </w:r>
      <w:r w:rsidRPr="0065360B">
        <w:rPr>
          <w:rFonts w:ascii="Times New Roman" w:hAnsi="Times New Roman"/>
          <w:b/>
          <w:sz w:val="24"/>
          <w:szCs w:val="24"/>
        </w:rPr>
        <w:t xml:space="preserve">Строк поставки товару:  з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дати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5360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5360B">
        <w:rPr>
          <w:rFonts w:ascii="Times New Roman" w:hAnsi="Times New Roman"/>
          <w:b/>
          <w:sz w:val="24"/>
          <w:szCs w:val="24"/>
        </w:rPr>
        <w:t>ідписання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до </w:t>
      </w:r>
      <w:r w:rsidRPr="0065360B">
        <w:rPr>
          <w:rFonts w:ascii="Times New Roman" w:hAnsi="Times New Roman"/>
          <w:b/>
          <w:sz w:val="24"/>
          <w:szCs w:val="24"/>
          <w:lang w:val="uk-UA"/>
        </w:rPr>
        <w:t>31.07.</w:t>
      </w:r>
      <w:r w:rsidRPr="0065360B">
        <w:rPr>
          <w:rFonts w:ascii="Times New Roman" w:hAnsi="Times New Roman"/>
          <w:b/>
          <w:sz w:val="24"/>
          <w:szCs w:val="24"/>
        </w:rPr>
        <w:t xml:space="preserve"> 202</w:t>
      </w:r>
      <w:r w:rsidRPr="0065360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65360B">
        <w:rPr>
          <w:rFonts w:ascii="Times New Roman" w:hAnsi="Times New Roman"/>
          <w:b/>
          <w:sz w:val="24"/>
          <w:szCs w:val="24"/>
        </w:rPr>
        <w:t xml:space="preserve"> р</w:t>
      </w:r>
      <w:r w:rsidRPr="0065360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5360B" w:rsidRPr="0065360B" w:rsidRDefault="0065360B" w:rsidP="0065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360B" w:rsidRPr="0065360B" w:rsidRDefault="0065360B" w:rsidP="0065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360B" w:rsidRPr="0065360B" w:rsidRDefault="0065360B" w:rsidP="0065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5360B"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: </w:t>
      </w:r>
      <w:r w:rsidRPr="0065360B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 w:rsidRPr="0065360B">
        <w:rPr>
          <w:rFonts w:ascii="Times New Roman" w:hAnsi="Times New Roman"/>
          <w:i/>
          <w:sz w:val="24"/>
          <w:szCs w:val="24"/>
        </w:rPr>
        <w:t>вл</w:t>
      </w:r>
      <w:proofErr w:type="gramEnd"/>
      <w:r w:rsidRPr="0065360B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читати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>».</w:t>
      </w:r>
    </w:p>
    <w:p w:rsidR="0065360B" w:rsidRPr="0065360B" w:rsidRDefault="0065360B" w:rsidP="0065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5360B" w:rsidRPr="0065360B" w:rsidRDefault="0065360B" w:rsidP="0065360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65360B" w:rsidRPr="0065360B" w:rsidRDefault="0065360B" w:rsidP="006536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65360B">
        <w:rPr>
          <w:rFonts w:ascii="Times New Roman" w:hAnsi="Times New Roman"/>
          <w:i/>
          <w:sz w:val="24"/>
          <w:szCs w:val="24"/>
        </w:rPr>
        <w:t>)</w:t>
      </w:r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65360B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65360B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65360B" w:rsidRPr="0065360B" w:rsidRDefault="0065360B" w:rsidP="006536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360B" w:rsidRPr="0065360B" w:rsidRDefault="0065360B" w:rsidP="006536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65360B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65360B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65360B" w:rsidRPr="0065360B" w:rsidRDefault="0065360B" w:rsidP="0065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360B">
        <w:rPr>
          <w:rFonts w:ascii="Times New Roman" w:hAnsi="Times New Roman"/>
          <w:b/>
          <w:caps/>
          <w:sz w:val="24"/>
          <w:szCs w:val="24"/>
        </w:rPr>
        <w:t>м.п.</w:t>
      </w:r>
      <w:r w:rsidRPr="0065360B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65360B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65360B">
        <w:rPr>
          <w:rFonts w:ascii="Times New Roman" w:hAnsi="Times New Roman"/>
          <w:b/>
          <w:sz w:val="24"/>
          <w:szCs w:val="24"/>
        </w:rPr>
        <w:t>)</w:t>
      </w:r>
    </w:p>
    <w:p w:rsidR="0065360B" w:rsidRPr="0065360B" w:rsidRDefault="0065360B" w:rsidP="0065360B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06982" w:rsidRPr="00830E1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830E1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7</cp:revision>
  <cp:lastPrinted>2022-12-14T10:24:00Z</cp:lastPrinted>
  <dcterms:created xsi:type="dcterms:W3CDTF">2024-02-20T09:55:00Z</dcterms:created>
  <dcterms:modified xsi:type="dcterms:W3CDTF">2024-02-26T11:49:00Z</dcterms:modified>
</cp:coreProperties>
</file>