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FB676F"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 Оригінал(и) або копію(ї) документу(</w:t>
            </w:r>
            <w:proofErr w:type="spellStart"/>
            <w:r w:rsidRPr="00D27EED">
              <w:rPr>
                <w:bCs/>
                <w:position w:val="0"/>
                <w:sz w:val="22"/>
                <w:szCs w:val="22"/>
                <w:lang w:val="uk-UA"/>
              </w:rPr>
              <w:t>ів</w:t>
            </w:r>
            <w:proofErr w:type="spellEnd"/>
            <w:r w:rsidRPr="00D27EED">
              <w:rPr>
                <w:bCs/>
                <w:position w:val="0"/>
                <w:sz w:val="22"/>
                <w:szCs w:val="22"/>
                <w:lang w:val="uk-UA"/>
              </w:rPr>
              <w:t>), що підтверджує(</w:t>
            </w:r>
            <w:proofErr w:type="spellStart"/>
            <w:r w:rsidRPr="00D27EED">
              <w:rPr>
                <w:bCs/>
                <w:position w:val="0"/>
                <w:sz w:val="22"/>
                <w:szCs w:val="22"/>
                <w:lang w:val="uk-UA"/>
              </w:rPr>
              <w:t>ють</w:t>
            </w:r>
            <w:proofErr w:type="spellEnd"/>
            <w:r w:rsidRPr="00D27EED">
              <w:rPr>
                <w:bCs/>
                <w:position w:val="0"/>
                <w:sz w:val="22"/>
                <w:szCs w:val="22"/>
                <w:lang w:val="uk-UA"/>
              </w:rPr>
              <w:t xml:space="preserve">)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w:t>
            </w:r>
            <w:proofErr w:type="spellStart"/>
            <w:r w:rsidRPr="00D27EED">
              <w:rPr>
                <w:bCs/>
                <w:position w:val="0"/>
                <w:sz w:val="22"/>
                <w:szCs w:val="22"/>
                <w:lang w:val="uk-UA"/>
              </w:rPr>
              <w:t>их</w:t>
            </w:r>
            <w:proofErr w:type="spellEnd"/>
            <w:r w:rsidRPr="00D27EED">
              <w:rPr>
                <w:bCs/>
                <w:position w:val="0"/>
                <w:sz w:val="22"/>
                <w:szCs w:val="22"/>
                <w:lang w:val="uk-UA"/>
              </w:rPr>
              <w:t>) приміщення(ь) учаснику потрібно надати оригінал(и) або копію(ї) договору(</w:t>
            </w:r>
            <w:proofErr w:type="spellStart"/>
            <w:r w:rsidRPr="00D27EED">
              <w:rPr>
                <w:bCs/>
                <w:position w:val="0"/>
                <w:sz w:val="22"/>
                <w:szCs w:val="22"/>
                <w:lang w:val="uk-UA"/>
              </w:rPr>
              <w:t>ів</w:t>
            </w:r>
            <w:proofErr w:type="spellEnd"/>
            <w:r w:rsidRPr="00D27EED">
              <w:rPr>
                <w:bCs/>
                <w:position w:val="0"/>
                <w:sz w:val="22"/>
                <w:szCs w:val="22"/>
                <w:lang w:val="uk-UA"/>
              </w:rPr>
              <w:t>)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D27EED"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w:t>
            </w:r>
            <w:proofErr w:type="spellStart"/>
            <w:r w:rsidRPr="00D27EED">
              <w:rPr>
                <w:sz w:val="22"/>
                <w:szCs w:val="22"/>
                <w:lang w:val="uk-UA"/>
              </w:rPr>
              <w:t>их</w:t>
            </w:r>
            <w:proofErr w:type="spellEnd"/>
            <w:r w:rsidRPr="00D27EED">
              <w:rPr>
                <w:sz w:val="22"/>
                <w:szCs w:val="22"/>
                <w:lang w:val="uk-UA"/>
              </w:rPr>
              <w:t>) договору(</w:t>
            </w:r>
            <w:proofErr w:type="spellStart"/>
            <w:r w:rsidRPr="00D27EED">
              <w:rPr>
                <w:sz w:val="22"/>
                <w:szCs w:val="22"/>
                <w:lang w:val="uk-UA"/>
              </w:rPr>
              <w:t>ів</w:t>
            </w:r>
            <w:proofErr w:type="spellEnd"/>
            <w:r w:rsidRPr="00D27EED">
              <w:rPr>
                <w:sz w:val="22"/>
                <w:szCs w:val="22"/>
                <w:lang w:val="uk-UA"/>
              </w:rPr>
              <w:t>);</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5714756F" w:rsidR="00F9064F" w:rsidRPr="00D27EED" w:rsidRDefault="00951E74" w:rsidP="00FB676F">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bookmarkStart w:id="0" w:name="_GoBack"/>
            <w:bookmarkEnd w:id="0"/>
            <w:r w:rsidR="00FB676F" w:rsidRPr="00FB676F">
              <w:rPr>
                <w:b/>
                <w:bCs/>
                <w:i/>
                <w:iCs/>
                <w:sz w:val="22"/>
                <w:szCs w:val="22"/>
                <w:lang w:val="uk-UA"/>
              </w:rPr>
              <w:t xml:space="preserve">03220000-9 - Овочі, фрукти та </w:t>
            </w:r>
            <w:r w:rsidR="00FB676F">
              <w:rPr>
                <w:b/>
                <w:bCs/>
                <w:i/>
                <w:iCs/>
                <w:sz w:val="22"/>
                <w:szCs w:val="22"/>
                <w:lang w:val="uk-UA"/>
              </w:rPr>
              <w:t xml:space="preserve">горіхи </w:t>
            </w:r>
            <w:r w:rsidR="002409FA" w:rsidRPr="002409FA">
              <w:rPr>
                <w:b/>
                <w:bCs/>
                <w:i/>
                <w:iCs/>
                <w:sz w:val="22"/>
                <w:szCs w:val="22"/>
                <w:lang w:val="uk-UA"/>
              </w:rPr>
              <w:t>за 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B676F"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27EED">
              <w:rPr>
                <w:rFonts w:ascii="Times New Roman" w:hAnsi="Times New Roman"/>
                <w:i/>
                <w:position w:val="0"/>
                <w:sz w:val="22"/>
                <w:szCs w:val="22"/>
                <w:lang w:val="uk-UA"/>
              </w:rPr>
              <w:t>безпекових</w:t>
            </w:r>
            <w:proofErr w:type="spellEnd"/>
            <w:r w:rsidRPr="00D27EED">
              <w:rPr>
                <w:rFonts w:ascii="Times New Roman" w:hAnsi="Times New Roman"/>
                <w:i/>
                <w:position w:val="0"/>
                <w:sz w:val="22"/>
                <w:szCs w:val="22"/>
                <w:lang w:val="uk-UA"/>
              </w:rPr>
              <w:t xml:space="preserve">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B676F"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FB676F"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B676F"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27EED">
              <w:rPr>
                <w:bCs/>
                <w:i/>
                <w:iCs/>
                <w:position w:val="0"/>
                <w:sz w:val="22"/>
                <w:szCs w:val="22"/>
                <w:lang w:val="uk-UA"/>
              </w:rPr>
              <w:t>безпекових</w:t>
            </w:r>
            <w:proofErr w:type="spellEnd"/>
            <w:r w:rsidRPr="00D27EED">
              <w:rPr>
                <w:bCs/>
                <w:i/>
                <w:iCs/>
                <w:position w:val="0"/>
                <w:sz w:val="22"/>
                <w:szCs w:val="22"/>
                <w:lang w:val="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B676F"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FB676F"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У разі якщо учасник або його кінцевий </w:t>
            </w:r>
            <w:proofErr w:type="spellStart"/>
            <w:r w:rsidRPr="00D27EED">
              <w:rPr>
                <w:bCs/>
                <w:position w:val="0"/>
                <w:sz w:val="22"/>
                <w:szCs w:val="22"/>
                <w:lang w:val="uk-UA"/>
              </w:rPr>
              <w:t>бенефіціарний</w:t>
            </w:r>
            <w:proofErr w:type="spellEnd"/>
            <w:r w:rsidRPr="00D27EED">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FB676F"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FB676F"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68279"/>
      <w:docPartObj>
        <w:docPartGallery w:val="Page Numbers (Bottom of Page)"/>
        <w:docPartUnique/>
      </w:docPartObj>
    </w:sdtPr>
    <w:sdtEndPr/>
    <w:sdtContent>
      <w:p w14:paraId="012B4867" w14:textId="59DEDB8C" w:rsidR="0045645B" w:rsidRDefault="0045645B">
        <w:pPr>
          <w:pStyle w:val="ab"/>
          <w:ind w:left="0" w:hanging="2"/>
          <w:jc w:val="center"/>
        </w:pPr>
        <w:r>
          <w:fldChar w:fldCharType="begin"/>
        </w:r>
        <w:r>
          <w:instrText>PAGE   \* MERGEFORMAT</w:instrText>
        </w:r>
        <w:r>
          <w:fldChar w:fldCharType="separate"/>
        </w:r>
        <w:r w:rsidR="00FB676F" w:rsidRPr="00FB676F">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53E71738" w:rsidR="00CD12F3" w:rsidRDefault="00FB676F">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7C243362" w:rsidR="00CD12F3" w:rsidRDefault="00FB676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4B4272D6" w:rsidR="00CD12F3" w:rsidRDefault="00FB676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34F8"/>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676F"/>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C7F889-4A47-462F-8F54-F34C831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2754</Words>
  <Characters>15699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13</cp:revision>
  <cp:lastPrinted>2023-11-07T10:43:00Z</cp:lastPrinted>
  <dcterms:created xsi:type="dcterms:W3CDTF">2023-10-22T14:20:00Z</dcterms:created>
  <dcterms:modified xsi:type="dcterms:W3CDTF">2023-11-20T18:10:00Z</dcterms:modified>
</cp:coreProperties>
</file>