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D9" w:rsidRPr="00B43CE0" w:rsidRDefault="001734D9" w:rsidP="001734D9">
      <w:pPr>
        <w:pageBreakBefore/>
        <w:pBdr>
          <w:top w:val="nil"/>
          <w:left w:val="nil"/>
          <w:bottom w:val="nil"/>
          <w:right w:val="nil"/>
          <w:between w:val="nil"/>
        </w:pBdr>
        <w:ind w:left="6804"/>
        <w:rPr>
          <w:color w:val="000000"/>
        </w:rPr>
      </w:pPr>
      <w:r w:rsidRPr="00B43CE0">
        <w:rPr>
          <w:b/>
          <w:color w:val="000000"/>
        </w:rPr>
        <w:t xml:space="preserve">Додаток 5 </w:t>
      </w:r>
      <w:r w:rsidRPr="00B43CE0">
        <w:rPr>
          <w:color w:val="000000"/>
        </w:rPr>
        <w:t>до тендерної документації</w:t>
      </w:r>
    </w:p>
    <w:p w:rsidR="001734D9" w:rsidRDefault="001734D9" w:rsidP="001734D9">
      <w:pPr>
        <w:pBdr>
          <w:top w:val="nil"/>
          <w:left w:val="nil"/>
          <w:bottom w:val="nil"/>
          <w:right w:val="nil"/>
          <w:between w:val="nil"/>
        </w:pBdr>
        <w:ind w:firstLine="357"/>
        <w:jc w:val="center"/>
        <w:rPr>
          <w:b/>
          <w:color w:val="000000"/>
        </w:rPr>
      </w:pPr>
    </w:p>
    <w:p w:rsidR="00673C4E" w:rsidRDefault="00673C4E" w:rsidP="001734D9">
      <w:pPr>
        <w:pBdr>
          <w:top w:val="nil"/>
          <w:left w:val="nil"/>
          <w:bottom w:val="nil"/>
          <w:right w:val="nil"/>
          <w:between w:val="nil"/>
        </w:pBdr>
        <w:ind w:firstLine="357"/>
        <w:jc w:val="center"/>
        <w:rPr>
          <w:b/>
          <w:color w:val="000000"/>
        </w:rPr>
      </w:pPr>
    </w:p>
    <w:p w:rsidR="00B12705" w:rsidRPr="00B12705" w:rsidRDefault="00B12705" w:rsidP="00B12705">
      <w:pPr>
        <w:pBdr>
          <w:top w:val="nil"/>
          <w:left w:val="nil"/>
          <w:bottom w:val="nil"/>
          <w:right w:val="nil"/>
          <w:between w:val="nil"/>
        </w:pBdr>
        <w:ind w:firstLine="357"/>
        <w:jc w:val="center"/>
        <w:rPr>
          <w:b/>
          <w:color w:val="000000"/>
          <w:sz w:val="28"/>
        </w:rPr>
      </w:pPr>
      <w:r w:rsidRPr="00B12705">
        <w:rPr>
          <w:b/>
          <w:color w:val="000000"/>
          <w:sz w:val="28"/>
        </w:rPr>
        <w:t>Інформація про необхідні технічні, якісні та кількісні характеристики предмета закупівлі</w:t>
      </w:r>
    </w:p>
    <w:p w:rsidR="00673C4E" w:rsidRDefault="00673C4E" w:rsidP="001734D9">
      <w:pPr>
        <w:pBdr>
          <w:top w:val="nil"/>
          <w:left w:val="nil"/>
          <w:bottom w:val="nil"/>
          <w:right w:val="nil"/>
          <w:between w:val="nil"/>
        </w:pBdr>
        <w:ind w:firstLine="357"/>
        <w:jc w:val="center"/>
        <w:rPr>
          <w:b/>
          <w:color w:val="000000"/>
        </w:rPr>
      </w:pPr>
    </w:p>
    <w:p w:rsidR="00FF2F49" w:rsidRDefault="00FF2F49" w:rsidP="009F0036">
      <w:pPr>
        <w:pBdr>
          <w:top w:val="nil"/>
          <w:left w:val="nil"/>
          <w:bottom w:val="nil"/>
          <w:right w:val="nil"/>
          <w:between w:val="nil"/>
        </w:pBdr>
        <w:ind w:firstLine="357"/>
        <w:jc w:val="center"/>
        <w:rPr>
          <w:b/>
          <w:color w:val="000000"/>
          <w:sz w:val="27"/>
          <w:szCs w:val="27"/>
        </w:rPr>
      </w:pPr>
      <w:r w:rsidRPr="00FF2F49">
        <w:rPr>
          <w:b/>
          <w:color w:val="000000"/>
          <w:sz w:val="27"/>
          <w:szCs w:val="27"/>
        </w:rPr>
        <w:t xml:space="preserve">«Послуги із сертифікації енергетичної ефективності будівель Державної митної служби України» </w:t>
      </w:r>
    </w:p>
    <w:p w:rsidR="00FF2F49" w:rsidRDefault="00FF2F49" w:rsidP="009F0036">
      <w:pPr>
        <w:pBdr>
          <w:top w:val="nil"/>
          <w:left w:val="nil"/>
          <w:bottom w:val="nil"/>
          <w:right w:val="nil"/>
          <w:between w:val="nil"/>
        </w:pBdr>
        <w:ind w:firstLine="357"/>
        <w:jc w:val="center"/>
        <w:rPr>
          <w:b/>
          <w:color w:val="000000"/>
          <w:sz w:val="27"/>
          <w:szCs w:val="27"/>
        </w:rPr>
      </w:pPr>
    </w:p>
    <w:p w:rsidR="00FF2F49" w:rsidRDefault="00FF2F49" w:rsidP="009F0036">
      <w:pPr>
        <w:pBdr>
          <w:top w:val="nil"/>
          <w:left w:val="nil"/>
          <w:bottom w:val="nil"/>
          <w:right w:val="nil"/>
          <w:between w:val="nil"/>
        </w:pBdr>
        <w:ind w:firstLine="357"/>
        <w:jc w:val="center"/>
        <w:rPr>
          <w:b/>
          <w:color w:val="000000"/>
          <w:sz w:val="27"/>
          <w:szCs w:val="27"/>
        </w:rPr>
      </w:pPr>
      <w:r w:rsidRPr="00FF2F49">
        <w:rPr>
          <w:b/>
          <w:color w:val="000000"/>
          <w:sz w:val="27"/>
          <w:szCs w:val="27"/>
        </w:rPr>
        <w:t xml:space="preserve">за кодом ДК 021:2015 71310000-4 Консультаційні послуги у галузях інженерії та будівництва </w:t>
      </w:r>
    </w:p>
    <w:p w:rsidR="00FF2F49" w:rsidRDefault="00FF2F49" w:rsidP="009F0036">
      <w:pPr>
        <w:pBdr>
          <w:top w:val="nil"/>
          <w:left w:val="nil"/>
          <w:bottom w:val="nil"/>
          <w:right w:val="nil"/>
          <w:between w:val="nil"/>
        </w:pBdr>
        <w:ind w:firstLine="357"/>
        <w:jc w:val="center"/>
        <w:rPr>
          <w:b/>
          <w:color w:val="000000"/>
          <w:sz w:val="27"/>
          <w:szCs w:val="27"/>
        </w:rPr>
      </w:pPr>
    </w:p>
    <w:p w:rsidR="009F0036" w:rsidRDefault="00FF2F49" w:rsidP="009F0036">
      <w:pPr>
        <w:pBdr>
          <w:top w:val="nil"/>
          <w:left w:val="nil"/>
          <w:bottom w:val="nil"/>
          <w:right w:val="nil"/>
          <w:between w:val="nil"/>
        </w:pBdr>
        <w:ind w:firstLine="357"/>
        <w:jc w:val="center"/>
        <w:rPr>
          <w:color w:val="000000"/>
          <w:sz w:val="27"/>
          <w:szCs w:val="27"/>
        </w:rPr>
      </w:pPr>
      <w:r w:rsidRPr="00FF2F49">
        <w:rPr>
          <w:color w:val="000000"/>
          <w:sz w:val="27"/>
          <w:szCs w:val="27"/>
        </w:rPr>
        <w:t>(Послуги із сертифікації енергетичної ефективності будівель Державної митної служби України: ДК 021:2015 71314300-5 Консультаційні послуги з питань енергоефективності).</w:t>
      </w:r>
    </w:p>
    <w:p w:rsidR="00FF2F49" w:rsidRDefault="00FF2F49" w:rsidP="009F0036">
      <w:pPr>
        <w:pBdr>
          <w:top w:val="nil"/>
          <w:left w:val="nil"/>
          <w:bottom w:val="nil"/>
          <w:right w:val="nil"/>
          <w:between w:val="nil"/>
        </w:pBdr>
        <w:ind w:firstLine="357"/>
        <w:jc w:val="center"/>
        <w:rPr>
          <w:color w:val="000000"/>
          <w:sz w:val="27"/>
          <w:szCs w:val="27"/>
        </w:rPr>
      </w:pPr>
    </w:p>
    <w:p w:rsidR="00FF2F49" w:rsidRPr="00FF2F49" w:rsidRDefault="00FF2F49" w:rsidP="009F0036">
      <w:pPr>
        <w:pBdr>
          <w:top w:val="nil"/>
          <w:left w:val="nil"/>
          <w:bottom w:val="nil"/>
          <w:right w:val="nil"/>
          <w:between w:val="nil"/>
        </w:pBdr>
        <w:ind w:firstLine="357"/>
        <w:jc w:val="center"/>
        <w:rPr>
          <w:color w:val="000000"/>
          <w:lang w:eastAsia="uk-UA"/>
        </w:rPr>
      </w:pPr>
    </w:p>
    <w:p w:rsidR="001734D9" w:rsidRDefault="001734D9" w:rsidP="001734D9">
      <w:pPr>
        <w:pBdr>
          <w:top w:val="nil"/>
          <w:left w:val="nil"/>
          <w:bottom w:val="nil"/>
          <w:right w:val="nil"/>
          <w:between w:val="nil"/>
        </w:pBdr>
        <w:ind w:firstLine="357"/>
        <w:jc w:val="center"/>
        <w:rPr>
          <w:b/>
          <w:color w:val="000000"/>
        </w:rPr>
      </w:pPr>
      <w:r w:rsidRPr="00B43CE0">
        <w:rPr>
          <w:b/>
          <w:color w:val="000000"/>
        </w:rPr>
        <w:t>ТЕХНІЧНІ ВИМОГИ</w:t>
      </w:r>
    </w:p>
    <w:p w:rsidR="00FF2F49" w:rsidRDefault="00FF2F49" w:rsidP="001734D9">
      <w:pPr>
        <w:pBdr>
          <w:top w:val="nil"/>
          <w:left w:val="nil"/>
          <w:bottom w:val="nil"/>
          <w:right w:val="nil"/>
          <w:between w:val="nil"/>
        </w:pBdr>
        <w:ind w:firstLine="357"/>
        <w:jc w:val="center"/>
        <w:rPr>
          <w:b/>
          <w:color w:val="000000"/>
        </w:rPr>
      </w:pPr>
    </w:p>
    <w:p w:rsidR="00FF2F49" w:rsidRDefault="00FF2F49" w:rsidP="00FF2F49">
      <w:pPr>
        <w:ind w:right="283" w:firstLine="567"/>
        <w:contextualSpacing/>
        <w:jc w:val="both"/>
        <w:rPr>
          <w:sz w:val="28"/>
          <w:szCs w:val="28"/>
        </w:rPr>
      </w:pPr>
      <w:r w:rsidRPr="00FF2F49">
        <w:rPr>
          <w:sz w:val="28"/>
          <w:szCs w:val="28"/>
        </w:rPr>
        <w:t xml:space="preserve">Місце і строк постачання товару/виконання робіт/надання послуг: </w:t>
      </w:r>
    </w:p>
    <w:p w:rsidR="00FF2F49" w:rsidRPr="00FF2F49" w:rsidRDefault="00FF2F49" w:rsidP="00FF2F49">
      <w:pPr>
        <w:ind w:right="283" w:firstLine="567"/>
        <w:contextualSpacing/>
        <w:jc w:val="both"/>
        <w:rPr>
          <w:rFonts w:eastAsia="Calibri"/>
          <w:color w:val="000000" w:themeColor="text1"/>
          <w:sz w:val="28"/>
          <w:szCs w:val="28"/>
          <w:lang w:eastAsia="uk-UA"/>
        </w:rPr>
      </w:pPr>
      <w:r w:rsidRPr="00FF2F49">
        <w:rPr>
          <w:sz w:val="28"/>
          <w:szCs w:val="28"/>
        </w:rPr>
        <w:t>строк надання послуг - до 22 грудня 2023 року, місце надання послуг</w:t>
      </w:r>
      <w:r w:rsidRPr="00FF2F49">
        <w:rPr>
          <w:rFonts w:eastAsia="Calibri"/>
          <w:color w:val="000000" w:themeColor="text1"/>
          <w:sz w:val="28"/>
          <w:szCs w:val="28"/>
          <w:lang w:eastAsia="uk-UA"/>
        </w:rPr>
        <w:t xml:space="preserve"> наведено у таблиці 1.</w:t>
      </w:r>
    </w:p>
    <w:p w:rsidR="00FF2F49" w:rsidRPr="008B06C0" w:rsidRDefault="00FF2F49" w:rsidP="00FF2F49">
      <w:pPr>
        <w:ind w:right="283" w:firstLine="567"/>
        <w:contextualSpacing/>
        <w:jc w:val="right"/>
        <w:rPr>
          <w:bCs/>
          <w:sz w:val="28"/>
          <w:szCs w:val="28"/>
        </w:rPr>
      </w:pPr>
      <w:r>
        <w:rPr>
          <w:rFonts w:eastAsia="Calibri"/>
          <w:color w:val="000000" w:themeColor="text1"/>
          <w:sz w:val="28"/>
          <w:szCs w:val="28"/>
          <w:lang w:eastAsia="uk-UA"/>
        </w:rPr>
        <w:t>Таблиця 1</w:t>
      </w:r>
    </w:p>
    <w:tbl>
      <w:tblPr>
        <w:tblStyle w:val="af"/>
        <w:tblW w:w="0" w:type="auto"/>
        <w:tblLook w:val="04A0" w:firstRow="1" w:lastRow="0" w:firstColumn="1" w:lastColumn="0" w:noHBand="0" w:noVBand="1"/>
      </w:tblPr>
      <w:tblGrid>
        <w:gridCol w:w="877"/>
        <w:gridCol w:w="6773"/>
        <w:gridCol w:w="2196"/>
      </w:tblGrid>
      <w:tr w:rsidR="00FF2F49" w:rsidTr="00FF2F49">
        <w:tc>
          <w:tcPr>
            <w:tcW w:w="877" w:type="dxa"/>
          </w:tcPr>
          <w:p w:rsidR="00FF2F49" w:rsidRPr="008B06C0" w:rsidRDefault="00FF2F49" w:rsidP="00FF2F49">
            <w:pPr>
              <w:jc w:val="center"/>
              <w:rPr>
                <w:bCs/>
                <w:sz w:val="28"/>
                <w:szCs w:val="28"/>
              </w:rPr>
            </w:pPr>
            <w:r w:rsidRPr="008B06C0">
              <w:rPr>
                <w:bCs/>
                <w:sz w:val="28"/>
                <w:szCs w:val="28"/>
              </w:rPr>
              <w:t>№</w:t>
            </w:r>
          </w:p>
          <w:p w:rsidR="00FF2F49" w:rsidRPr="008B06C0" w:rsidRDefault="00FF2F49" w:rsidP="00FF2F49">
            <w:pPr>
              <w:tabs>
                <w:tab w:val="left" w:pos="2010"/>
              </w:tabs>
              <w:contextualSpacing/>
              <w:jc w:val="center"/>
              <w:rPr>
                <w:bCs/>
                <w:sz w:val="28"/>
                <w:szCs w:val="28"/>
              </w:rPr>
            </w:pPr>
            <w:r>
              <w:rPr>
                <w:bCs/>
                <w:sz w:val="28"/>
                <w:szCs w:val="28"/>
              </w:rPr>
              <w:t>з</w:t>
            </w:r>
            <w:r w:rsidRPr="008B06C0">
              <w:rPr>
                <w:bCs/>
                <w:sz w:val="28"/>
                <w:szCs w:val="28"/>
              </w:rPr>
              <w:t>/п</w:t>
            </w:r>
          </w:p>
        </w:tc>
        <w:tc>
          <w:tcPr>
            <w:tcW w:w="6773" w:type="dxa"/>
            <w:vAlign w:val="center"/>
          </w:tcPr>
          <w:p w:rsidR="00FF2F49" w:rsidRPr="008B06C0" w:rsidRDefault="00FF2F49" w:rsidP="00FF2F49">
            <w:pPr>
              <w:jc w:val="center"/>
              <w:rPr>
                <w:bCs/>
                <w:sz w:val="28"/>
                <w:szCs w:val="28"/>
              </w:rPr>
            </w:pPr>
            <w:r w:rsidRPr="008B06C0">
              <w:rPr>
                <w:bCs/>
                <w:sz w:val="28"/>
                <w:szCs w:val="28"/>
              </w:rPr>
              <w:t>Місцезнаходження та назва об’єкта</w:t>
            </w:r>
          </w:p>
        </w:tc>
        <w:tc>
          <w:tcPr>
            <w:tcW w:w="2196" w:type="dxa"/>
            <w:vAlign w:val="center"/>
          </w:tcPr>
          <w:p w:rsidR="00FF2F49" w:rsidRPr="008B06C0" w:rsidRDefault="00FF2F49" w:rsidP="00FF2F49">
            <w:pPr>
              <w:jc w:val="center"/>
              <w:rPr>
                <w:bCs/>
                <w:sz w:val="28"/>
                <w:szCs w:val="28"/>
              </w:rPr>
            </w:pPr>
            <w:r w:rsidRPr="008B06C0">
              <w:rPr>
                <w:bCs/>
                <w:sz w:val="28"/>
                <w:szCs w:val="28"/>
              </w:rPr>
              <w:t>Площа об’єкта</w:t>
            </w:r>
          </w:p>
          <w:p w:rsidR="00FF2F49" w:rsidRPr="008B06C0" w:rsidRDefault="00FF2F49" w:rsidP="00FF2F49">
            <w:pPr>
              <w:jc w:val="center"/>
              <w:rPr>
                <w:bCs/>
                <w:sz w:val="28"/>
                <w:szCs w:val="28"/>
              </w:rPr>
            </w:pPr>
            <w:r w:rsidRPr="008B06C0">
              <w:rPr>
                <w:bCs/>
                <w:sz w:val="28"/>
                <w:szCs w:val="28"/>
              </w:rPr>
              <w:t>кв. м.</w:t>
            </w:r>
          </w:p>
        </w:tc>
      </w:tr>
      <w:tr w:rsidR="00FF2F49" w:rsidTr="00FF2F49">
        <w:tc>
          <w:tcPr>
            <w:tcW w:w="877" w:type="dxa"/>
            <w:vAlign w:val="center"/>
          </w:tcPr>
          <w:p w:rsidR="00FF2F49" w:rsidRPr="008B06C0" w:rsidRDefault="00FF2F49" w:rsidP="00320224">
            <w:pPr>
              <w:jc w:val="center"/>
              <w:rPr>
                <w:sz w:val="28"/>
                <w:szCs w:val="28"/>
              </w:rPr>
            </w:pPr>
            <w:r w:rsidRPr="008B06C0">
              <w:rPr>
                <w:sz w:val="28"/>
                <w:szCs w:val="28"/>
              </w:rPr>
              <w:t>1.</w:t>
            </w:r>
          </w:p>
        </w:tc>
        <w:tc>
          <w:tcPr>
            <w:tcW w:w="6773" w:type="dxa"/>
            <w:vAlign w:val="center"/>
          </w:tcPr>
          <w:p w:rsidR="00FF2F49" w:rsidRPr="008B06C0" w:rsidRDefault="00FF2F49" w:rsidP="00320224">
            <w:pPr>
              <w:rPr>
                <w:color w:val="000000"/>
                <w:sz w:val="28"/>
                <w:szCs w:val="28"/>
                <w:lang w:eastAsia="uk-UA"/>
              </w:rPr>
            </w:pPr>
            <w:r w:rsidRPr="008B06C0">
              <w:rPr>
                <w:color w:val="000000"/>
                <w:sz w:val="28"/>
                <w:szCs w:val="28"/>
                <w:lang w:eastAsia="uk-UA"/>
              </w:rPr>
              <w:t xml:space="preserve">Адмінкорпус </w:t>
            </w:r>
          </w:p>
          <w:p w:rsidR="00FF2F49" w:rsidRPr="008B06C0" w:rsidRDefault="00FF2F49" w:rsidP="00320224">
            <w:pPr>
              <w:rPr>
                <w:b/>
                <w:bCs/>
                <w:sz w:val="28"/>
                <w:szCs w:val="28"/>
              </w:rPr>
            </w:pPr>
            <w:r w:rsidRPr="008B06C0">
              <w:rPr>
                <w:color w:val="000000"/>
                <w:sz w:val="28"/>
                <w:szCs w:val="28"/>
                <w:lang w:eastAsia="uk-UA"/>
              </w:rPr>
              <w:t>м. Київ, вул. Дегтярівська, 11А</w:t>
            </w:r>
          </w:p>
        </w:tc>
        <w:tc>
          <w:tcPr>
            <w:tcW w:w="2196" w:type="dxa"/>
            <w:vAlign w:val="center"/>
          </w:tcPr>
          <w:p w:rsidR="00FF2F49" w:rsidRPr="008B06C0" w:rsidRDefault="00FF2F49" w:rsidP="00320224">
            <w:pPr>
              <w:jc w:val="center"/>
              <w:rPr>
                <w:bCs/>
                <w:sz w:val="28"/>
                <w:szCs w:val="28"/>
              </w:rPr>
            </w:pPr>
            <w:r w:rsidRPr="008B06C0">
              <w:rPr>
                <w:bCs/>
                <w:sz w:val="28"/>
                <w:szCs w:val="28"/>
              </w:rPr>
              <w:t>1 188,0</w:t>
            </w:r>
          </w:p>
        </w:tc>
      </w:tr>
      <w:tr w:rsidR="00FF2F49" w:rsidTr="00FF2F49">
        <w:tc>
          <w:tcPr>
            <w:tcW w:w="877" w:type="dxa"/>
            <w:vAlign w:val="center"/>
          </w:tcPr>
          <w:p w:rsidR="00FF2F49" w:rsidRPr="008B06C0" w:rsidRDefault="00FF2F49" w:rsidP="00320224">
            <w:pPr>
              <w:jc w:val="center"/>
              <w:rPr>
                <w:sz w:val="28"/>
                <w:szCs w:val="28"/>
              </w:rPr>
            </w:pPr>
            <w:r w:rsidRPr="008B06C0">
              <w:rPr>
                <w:sz w:val="28"/>
                <w:szCs w:val="28"/>
              </w:rPr>
              <w:t>2.</w:t>
            </w:r>
          </w:p>
        </w:tc>
        <w:tc>
          <w:tcPr>
            <w:tcW w:w="6773" w:type="dxa"/>
            <w:vAlign w:val="center"/>
          </w:tcPr>
          <w:p w:rsidR="00FF2F49" w:rsidRDefault="00FF2F49" w:rsidP="00320224">
            <w:pPr>
              <w:rPr>
                <w:bCs/>
                <w:sz w:val="28"/>
                <w:szCs w:val="28"/>
                <w:highlight w:val="yellow"/>
              </w:rPr>
            </w:pPr>
            <w:r w:rsidRPr="009229D0">
              <w:rPr>
                <w:color w:val="000000"/>
                <w:sz w:val="28"/>
                <w:szCs w:val="28"/>
              </w:rPr>
              <w:t xml:space="preserve">Будівлі адміністративно-господарського призначення з прибудовами, </w:t>
            </w:r>
            <w:r>
              <w:rPr>
                <w:color w:val="000000"/>
                <w:sz w:val="28"/>
                <w:szCs w:val="28"/>
              </w:rPr>
              <w:t>«</w:t>
            </w:r>
            <w:r w:rsidRPr="009229D0">
              <w:rPr>
                <w:color w:val="000000"/>
                <w:sz w:val="28"/>
                <w:szCs w:val="28"/>
              </w:rPr>
              <w:t>А-3, А1-1, А2-1</w:t>
            </w:r>
            <w:r>
              <w:rPr>
                <w:color w:val="000000"/>
                <w:sz w:val="28"/>
                <w:szCs w:val="28"/>
              </w:rPr>
              <w:t>»</w:t>
            </w:r>
          </w:p>
          <w:p w:rsidR="00FF2F49" w:rsidRPr="009229D0" w:rsidRDefault="00FF2F49" w:rsidP="00320224">
            <w:pPr>
              <w:rPr>
                <w:rFonts w:ascii="Calibri" w:hAnsi="Calibri" w:cs="Calibri"/>
                <w:color w:val="000000"/>
              </w:rPr>
            </w:pPr>
            <w:r w:rsidRPr="009229D0">
              <w:rPr>
                <w:color w:val="000000"/>
                <w:sz w:val="28"/>
              </w:rPr>
              <w:t>Черкаська область, м. Черкаси, вул. Дашковича Остафія, 76</w:t>
            </w:r>
            <w:r>
              <w:rPr>
                <w:rFonts w:ascii="Calibri" w:hAnsi="Calibri" w:cs="Calibri"/>
                <w:color w:val="000000"/>
              </w:rPr>
              <w:t xml:space="preserve"> </w:t>
            </w:r>
          </w:p>
        </w:tc>
        <w:tc>
          <w:tcPr>
            <w:tcW w:w="2196" w:type="dxa"/>
            <w:vAlign w:val="center"/>
          </w:tcPr>
          <w:p w:rsidR="00FF2F49" w:rsidRPr="002547C2" w:rsidRDefault="00FF2F49" w:rsidP="00320224">
            <w:pPr>
              <w:jc w:val="center"/>
              <w:rPr>
                <w:bCs/>
                <w:sz w:val="28"/>
                <w:szCs w:val="28"/>
                <w:highlight w:val="yellow"/>
              </w:rPr>
            </w:pPr>
            <w:r w:rsidRPr="000059AF">
              <w:rPr>
                <w:bCs/>
                <w:sz w:val="28"/>
                <w:szCs w:val="28"/>
              </w:rPr>
              <w:t>3 108,1</w:t>
            </w:r>
          </w:p>
        </w:tc>
      </w:tr>
      <w:tr w:rsidR="00FF2F49" w:rsidTr="00FF2F49">
        <w:tc>
          <w:tcPr>
            <w:tcW w:w="877" w:type="dxa"/>
            <w:vAlign w:val="center"/>
          </w:tcPr>
          <w:p w:rsidR="00FF2F49" w:rsidRPr="008B06C0" w:rsidRDefault="00FF2F49" w:rsidP="00320224">
            <w:pPr>
              <w:jc w:val="center"/>
              <w:rPr>
                <w:sz w:val="28"/>
                <w:szCs w:val="28"/>
              </w:rPr>
            </w:pPr>
            <w:r w:rsidRPr="008B06C0">
              <w:rPr>
                <w:sz w:val="28"/>
                <w:szCs w:val="28"/>
              </w:rPr>
              <w:t>3.</w:t>
            </w:r>
          </w:p>
        </w:tc>
        <w:tc>
          <w:tcPr>
            <w:tcW w:w="6773" w:type="dxa"/>
            <w:vAlign w:val="center"/>
          </w:tcPr>
          <w:p w:rsidR="00FF2F49" w:rsidRPr="008B06C0" w:rsidRDefault="00FF2F49" w:rsidP="00320224">
            <w:pPr>
              <w:rPr>
                <w:color w:val="000000"/>
                <w:sz w:val="28"/>
                <w:szCs w:val="28"/>
              </w:rPr>
            </w:pPr>
            <w:r w:rsidRPr="008B06C0">
              <w:rPr>
                <w:color w:val="000000"/>
                <w:sz w:val="28"/>
                <w:szCs w:val="28"/>
              </w:rPr>
              <w:t>Адміністративна будівля  " блок А, блок Б"</w:t>
            </w:r>
          </w:p>
          <w:p w:rsidR="00FF2F49" w:rsidRPr="008B06C0" w:rsidRDefault="00FF2F49" w:rsidP="00320224">
            <w:pPr>
              <w:rPr>
                <w:b/>
                <w:bCs/>
                <w:sz w:val="28"/>
                <w:szCs w:val="28"/>
              </w:rPr>
            </w:pPr>
            <w:r w:rsidRPr="008B06C0">
              <w:rPr>
                <w:color w:val="000000"/>
                <w:sz w:val="28"/>
                <w:szCs w:val="28"/>
              </w:rPr>
              <w:t>м. Київ, вул. Світлицького, 28-А</w:t>
            </w:r>
          </w:p>
        </w:tc>
        <w:tc>
          <w:tcPr>
            <w:tcW w:w="2196" w:type="dxa"/>
            <w:vAlign w:val="center"/>
          </w:tcPr>
          <w:p w:rsidR="00FF2F49" w:rsidRPr="008B06C0" w:rsidRDefault="00FF2F49" w:rsidP="00320224">
            <w:pPr>
              <w:jc w:val="center"/>
              <w:rPr>
                <w:bCs/>
                <w:sz w:val="28"/>
                <w:szCs w:val="28"/>
              </w:rPr>
            </w:pPr>
            <w:r w:rsidRPr="008B06C0">
              <w:rPr>
                <w:color w:val="000000"/>
                <w:sz w:val="28"/>
                <w:szCs w:val="28"/>
              </w:rPr>
              <w:t>6 284,1</w:t>
            </w:r>
          </w:p>
        </w:tc>
      </w:tr>
      <w:tr w:rsidR="00FF2F49" w:rsidTr="00FF2F49">
        <w:tc>
          <w:tcPr>
            <w:tcW w:w="877" w:type="dxa"/>
            <w:vAlign w:val="center"/>
          </w:tcPr>
          <w:p w:rsidR="00FF2F49" w:rsidRPr="008B06C0" w:rsidRDefault="00FF2F49" w:rsidP="00320224">
            <w:pPr>
              <w:jc w:val="center"/>
              <w:rPr>
                <w:sz w:val="28"/>
                <w:szCs w:val="28"/>
              </w:rPr>
            </w:pPr>
            <w:r w:rsidRPr="008B06C0">
              <w:rPr>
                <w:sz w:val="28"/>
                <w:szCs w:val="28"/>
              </w:rPr>
              <w:t>4.</w:t>
            </w:r>
          </w:p>
        </w:tc>
        <w:tc>
          <w:tcPr>
            <w:tcW w:w="6773" w:type="dxa"/>
            <w:vAlign w:val="center"/>
          </w:tcPr>
          <w:p w:rsidR="00FF2F49" w:rsidRPr="008B06C0" w:rsidRDefault="00FF2F49" w:rsidP="00320224">
            <w:pPr>
              <w:rPr>
                <w:b/>
                <w:bCs/>
                <w:sz w:val="28"/>
                <w:szCs w:val="28"/>
              </w:rPr>
            </w:pPr>
            <w:r w:rsidRPr="008B06C0">
              <w:rPr>
                <w:color w:val="000000"/>
                <w:sz w:val="28"/>
                <w:szCs w:val="28"/>
              </w:rPr>
              <w:t>Адміністративна будівля</w:t>
            </w:r>
          </w:p>
          <w:p w:rsidR="00FF2F49" w:rsidRPr="008B06C0" w:rsidRDefault="00FF2F49" w:rsidP="00320224">
            <w:pPr>
              <w:rPr>
                <w:color w:val="000000"/>
                <w:sz w:val="28"/>
                <w:szCs w:val="28"/>
                <w:lang w:eastAsia="uk-UA"/>
              </w:rPr>
            </w:pPr>
            <w:r w:rsidRPr="008B06C0">
              <w:rPr>
                <w:color w:val="000000"/>
                <w:sz w:val="28"/>
                <w:szCs w:val="28"/>
              </w:rPr>
              <w:t>м. Київ, бульвар Гавела Вацлава, 8-а</w:t>
            </w:r>
          </w:p>
        </w:tc>
        <w:tc>
          <w:tcPr>
            <w:tcW w:w="2196" w:type="dxa"/>
            <w:vAlign w:val="center"/>
          </w:tcPr>
          <w:p w:rsidR="00FF2F49" w:rsidRPr="008B06C0" w:rsidRDefault="00FF2F49" w:rsidP="00320224">
            <w:pPr>
              <w:jc w:val="center"/>
              <w:rPr>
                <w:bCs/>
                <w:sz w:val="28"/>
                <w:szCs w:val="28"/>
              </w:rPr>
            </w:pPr>
            <w:r w:rsidRPr="008B06C0">
              <w:rPr>
                <w:color w:val="000000"/>
                <w:sz w:val="28"/>
                <w:szCs w:val="28"/>
              </w:rPr>
              <w:t>21 608,7</w:t>
            </w:r>
          </w:p>
        </w:tc>
      </w:tr>
      <w:tr w:rsidR="00FF2F49" w:rsidTr="00FF2F49">
        <w:tc>
          <w:tcPr>
            <w:tcW w:w="877" w:type="dxa"/>
            <w:vAlign w:val="center"/>
          </w:tcPr>
          <w:p w:rsidR="00FF2F49" w:rsidRPr="008B06C0" w:rsidRDefault="00FF2F49" w:rsidP="00320224">
            <w:pPr>
              <w:jc w:val="center"/>
              <w:rPr>
                <w:sz w:val="28"/>
                <w:szCs w:val="28"/>
              </w:rPr>
            </w:pPr>
            <w:r w:rsidRPr="008B06C0">
              <w:rPr>
                <w:sz w:val="28"/>
                <w:szCs w:val="28"/>
              </w:rPr>
              <w:t>5.</w:t>
            </w:r>
          </w:p>
        </w:tc>
        <w:tc>
          <w:tcPr>
            <w:tcW w:w="6773" w:type="dxa"/>
            <w:vAlign w:val="center"/>
          </w:tcPr>
          <w:p w:rsidR="00FF2F49" w:rsidRPr="008B06C0" w:rsidRDefault="00FF2F49" w:rsidP="00320224">
            <w:pPr>
              <w:rPr>
                <w:color w:val="000000"/>
                <w:sz w:val="28"/>
                <w:szCs w:val="28"/>
              </w:rPr>
            </w:pPr>
            <w:r w:rsidRPr="008B06C0">
              <w:rPr>
                <w:color w:val="000000"/>
                <w:sz w:val="28"/>
                <w:szCs w:val="28"/>
              </w:rPr>
              <w:t>Адміністративне приміщення Вінницької митниці</w:t>
            </w:r>
          </w:p>
          <w:p w:rsidR="00FF2F49" w:rsidRPr="008B06C0" w:rsidRDefault="00FF2F49" w:rsidP="00320224">
            <w:pPr>
              <w:rPr>
                <w:b/>
                <w:bCs/>
                <w:sz w:val="28"/>
                <w:szCs w:val="28"/>
              </w:rPr>
            </w:pPr>
            <w:r w:rsidRPr="008B06C0">
              <w:rPr>
                <w:color w:val="000000"/>
                <w:sz w:val="28"/>
                <w:szCs w:val="28"/>
              </w:rPr>
              <w:t>м. Вінниця, вул. Лебединського, 17</w:t>
            </w:r>
          </w:p>
        </w:tc>
        <w:tc>
          <w:tcPr>
            <w:tcW w:w="2196" w:type="dxa"/>
            <w:vAlign w:val="center"/>
          </w:tcPr>
          <w:p w:rsidR="00FF2F49" w:rsidRPr="008B06C0" w:rsidRDefault="00FF2F49" w:rsidP="00320224">
            <w:pPr>
              <w:jc w:val="center"/>
              <w:rPr>
                <w:bCs/>
                <w:sz w:val="28"/>
                <w:szCs w:val="28"/>
              </w:rPr>
            </w:pPr>
            <w:r w:rsidRPr="008B06C0">
              <w:rPr>
                <w:color w:val="000000"/>
                <w:sz w:val="28"/>
                <w:szCs w:val="28"/>
              </w:rPr>
              <w:t>4 840,5</w:t>
            </w:r>
          </w:p>
        </w:tc>
      </w:tr>
      <w:tr w:rsidR="00FF2F49" w:rsidTr="00FF2F49">
        <w:tc>
          <w:tcPr>
            <w:tcW w:w="877" w:type="dxa"/>
            <w:vAlign w:val="center"/>
          </w:tcPr>
          <w:p w:rsidR="00FF2F49" w:rsidRPr="008B06C0" w:rsidRDefault="00FF2F49" w:rsidP="00320224">
            <w:pPr>
              <w:jc w:val="center"/>
              <w:rPr>
                <w:sz w:val="28"/>
                <w:szCs w:val="28"/>
              </w:rPr>
            </w:pPr>
            <w:r w:rsidRPr="008B06C0">
              <w:rPr>
                <w:sz w:val="28"/>
                <w:szCs w:val="28"/>
              </w:rPr>
              <w:t>6.</w:t>
            </w:r>
          </w:p>
        </w:tc>
        <w:tc>
          <w:tcPr>
            <w:tcW w:w="6773" w:type="dxa"/>
            <w:vAlign w:val="center"/>
          </w:tcPr>
          <w:p w:rsidR="00FF2F49" w:rsidRPr="008B06C0" w:rsidRDefault="00FF2F49" w:rsidP="00320224">
            <w:pPr>
              <w:rPr>
                <w:color w:val="000000"/>
                <w:sz w:val="28"/>
                <w:szCs w:val="28"/>
              </w:rPr>
            </w:pPr>
            <w:r w:rsidRPr="008B06C0">
              <w:rPr>
                <w:color w:val="000000"/>
                <w:sz w:val="28"/>
                <w:szCs w:val="28"/>
              </w:rPr>
              <w:t>Адміністративний будинок митниці</w:t>
            </w:r>
          </w:p>
          <w:p w:rsidR="00FF2F49" w:rsidRPr="008B06C0" w:rsidRDefault="00FF2F49" w:rsidP="00320224">
            <w:pPr>
              <w:rPr>
                <w:b/>
                <w:bCs/>
                <w:sz w:val="28"/>
                <w:szCs w:val="28"/>
              </w:rPr>
            </w:pPr>
            <w:r w:rsidRPr="008B06C0">
              <w:rPr>
                <w:color w:val="000000"/>
                <w:sz w:val="28"/>
                <w:szCs w:val="28"/>
              </w:rPr>
              <w:t>м. Львів вул. Костюшка,1</w:t>
            </w:r>
          </w:p>
        </w:tc>
        <w:tc>
          <w:tcPr>
            <w:tcW w:w="2196" w:type="dxa"/>
            <w:vAlign w:val="center"/>
          </w:tcPr>
          <w:p w:rsidR="00FF2F49" w:rsidRPr="008B06C0" w:rsidRDefault="00FF2F49" w:rsidP="00320224">
            <w:pPr>
              <w:jc w:val="center"/>
              <w:rPr>
                <w:color w:val="000000"/>
                <w:sz w:val="28"/>
                <w:szCs w:val="28"/>
                <w:lang w:eastAsia="uk-UA"/>
              </w:rPr>
            </w:pPr>
            <w:r w:rsidRPr="008B06C0">
              <w:rPr>
                <w:color w:val="000000"/>
                <w:sz w:val="28"/>
                <w:szCs w:val="28"/>
              </w:rPr>
              <w:t>3 095,1</w:t>
            </w:r>
          </w:p>
          <w:p w:rsidR="00FF2F49" w:rsidRPr="008B06C0" w:rsidRDefault="00FF2F49" w:rsidP="00320224">
            <w:pPr>
              <w:jc w:val="center"/>
              <w:rPr>
                <w:bCs/>
                <w:sz w:val="28"/>
                <w:szCs w:val="28"/>
              </w:rPr>
            </w:pPr>
          </w:p>
        </w:tc>
      </w:tr>
      <w:tr w:rsidR="00FF2F49" w:rsidTr="00FF2F49">
        <w:tc>
          <w:tcPr>
            <w:tcW w:w="877" w:type="dxa"/>
            <w:vAlign w:val="center"/>
          </w:tcPr>
          <w:p w:rsidR="00FF2F49" w:rsidRPr="008B06C0" w:rsidRDefault="00FF2F49" w:rsidP="00320224">
            <w:pPr>
              <w:jc w:val="center"/>
              <w:rPr>
                <w:sz w:val="28"/>
                <w:szCs w:val="28"/>
              </w:rPr>
            </w:pPr>
            <w:r w:rsidRPr="008B06C0">
              <w:rPr>
                <w:sz w:val="28"/>
                <w:szCs w:val="28"/>
              </w:rPr>
              <w:t>7.</w:t>
            </w:r>
          </w:p>
        </w:tc>
        <w:tc>
          <w:tcPr>
            <w:tcW w:w="6773" w:type="dxa"/>
            <w:vAlign w:val="center"/>
          </w:tcPr>
          <w:p w:rsidR="00FF2F49" w:rsidRPr="008B06C0" w:rsidRDefault="00FF2F49" w:rsidP="00320224">
            <w:pPr>
              <w:rPr>
                <w:b/>
                <w:bCs/>
                <w:sz w:val="28"/>
                <w:szCs w:val="28"/>
              </w:rPr>
            </w:pPr>
            <w:r w:rsidRPr="008B06C0">
              <w:rPr>
                <w:color w:val="000000"/>
                <w:sz w:val="28"/>
                <w:szCs w:val="28"/>
              </w:rPr>
              <w:t>Адміністративний будинок</w:t>
            </w:r>
          </w:p>
          <w:p w:rsidR="00FF2F49" w:rsidRPr="008B06C0" w:rsidRDefault="00FF2F49" w:rsidP="00320224">
            <w:pPr>
              <w:rPr>
                <w:b/>
                <w:bCs/>
                <w:sz w:val="28"/>
                <w:szCs w:val="28"/>
              </w:rPr>
            </w:pPr>
            <w:r w:rsidRPr="008B06C0">
              <w:rPr>
                <w:color w:val="000000"/>
                <w:sz w:val="28"/>
                <w:szCs w:val="28"/>
              </w:rPr>
              <w:t>м. Львів, вул. Городоцька, 369</w:t>
            </w:r>
          </w:p>
        </w:tc>
        <w:tc>
          <w:tcPr>
            <w:tcW w:w="2196" w:type="dxa"/>
            <w:vAlign w:val="center"/>
          </w:tcPr>
          <w:p w:rsidR="00FF2F49" w:rsidRPr="008B06C0" w:rsidRDefault="00FF2F49" w:rsidP="00320224">
            <w:pPr>
              <w:jc w:val="center"/>
              <w:rPr>
                <w:bCs/>
                <w:sz w:val="28"/>
                <w:szCs w:val="28"/>
              </w:rPr>
            </w:pPr>
            <w:r w:rsidRPr="008B06C0">
              <w:rPr>
                <w:color w:val="000000"/>
                <w:sz w:val="28"/>
                <w:szCs w:val="28"/>
              </w:rPr>
              <w:t>1 592,3</w:t>
            </w:r>
          </w:p>
        </w:tc>
      </w:tr>
      <w:tr w:rsidR="00FF2F49" w:rsidTr="00FF2F49">
        <w:tc>
          <w:tcPr>
            <w:tcW w:w="877" w:type="dxa"/>
            <w:vAlign w:val="center"/>
          </w:tcPr>
          <w:p w:rsidR="00FF2F49" w:rsidRPr="008B06C0" w:rsidRDefault="00FF2F49" w:rsidP="00320224">
            <w:pPr>
              <w:jc w:val="center"/>
              <w:rPr>
                <w:sz w:val="28"/>
                <w:szCs w:val="28"/>
              </w:rPr>
            </w:pPr>
            <w:r w:rsidRPr="008B06C0">
              <w:rPr>
                <w:sz w:val="28"/>
                <w:szCs w:val="28"/>
              </w:rPr>
              <w:t>8.</w:t>
            </w:r>
          </w:p>
        </w:tc>
        <w:tc>
          <w:tcPr>
            <w:tcW w:w="6773" w:type="dxa"/>
            <w:vAlign w:val="center"/>
          </w:tcPr>
          <w:p w:rsidR="00FF2F49" w:rsidRPr="008B06C0" w:rsidRDefault="00FF2F49" w:rsidP="00320224">
            <w:pPr>
              <w:rPr>
                <w:color w:val="000000"/>
                <w:sz w:val="28"/>
                <w:szCs w:val="28"/>
              </w:rPr>
            </w:pPr>
            <w:r w:rsidRPr="008B06C0">
              <w:rPr>
                <w:color w:val="000000"/>
                <w:sz w:val="28"/>
                <w:szCs w:val="28"/>
              </w:rPr>
              <w:t>Приміщення адміністративного корпусу</w:t>
            </w:r>
          </w:p>
          <w:p w:rsidR="00FF2F49" w:rsidRPr="008B06C0" w:rsidRDefault="00FF2F49" w:rsidP="00320224">
            <w:pPr>
              <w:rPr>
                <w:color w:val="000000"/>
                <w:sz w:val="28"/>
                <w:szCs w:val="28"/>
              </w:rPr>
            </w:pPr>
            <w:r w:rsidRPr="008B06C0">
              <w:rPr>
                <w:color w:val="000000"/>
                <w:sz w:val="28"/>
                <w:szCs w:val="28"/>
              </w:rPr>
              <w:t>м. Івано-Франківськ, Чорновола, 159</w:t>
            </w:r>
          </w:p>
        </w:tc>
        <w:tc>
          <w:tcPr>
            <w:tcW w:w="2196" w:type="dxa"/>
            <w:vAlign w:val="center"/>
          </w:tcPr>
          <w:p w:rsidR="00FF2F49" w:rsidRPr="008B06C0" w:rsidRDefault="00FF2F49" w:rsidP="00320224">
            <w:pPr>
              <w:jc w:val="center"/>
              <w:rPr>
                <w:color w:val="000000"/>
                <w:sz w:val="28"/>
                <w:szCs w:val="28"/>
              </w:rPr>
            </w:pPr>
            <w:r w:rsidRPr="008B06C0">
              <w:rPr>
                <w:color w:val="000000"/>
                <w:sz w:val="28"/>
                <w:szCs w:val="28"/>
              </w:rPr>
              <w:t>1 558,7</w:t>
            </w:r>
          </w:p>
        </w:tc>
      </w:tr>
      <w:tr w:rsidR="00FF2F49" w:rsidTr="00FF2F49">
        <w:tc>
          <w:tcPr>
            <w:tcW w:w="877" w:type="dxa"/>
            <w:vAlign w:val="center"/>
          </w:tcPr>
          <w:p w:rsidR="00FF2F49" w:rsidRPr="008B06C0" w:rsidRDefault="00FF2F49" w:rsidP="00320224">
            <w:pPr>
              <w:jc w:val="center"/>
              <w:rPr>
                <w:sz w:val="28"/>
                <w:szCs w:val="28"/>
              </w:rPr>
            </w:pPr>
            <w:r w:rsidRPr="008B06C0">
              <w:rPr>
                <w:sz w:val="28"/>
                <w:szCs w:val="28"/>
              </w:rPr>
              <w:t>9.</w:t>
            </w:r>
          </w:p>
        </w:tc>
        <w:tc>
          <w:tcPr>
            <w:tcW w:w="6773" w:type="dxa"/>
            <w:vAlign w:val="center"/>
          </w:tcPr>
          <w:p w:rsidR="00FF2F49" w:rsidRPr="008B06C0" w:rsidRDefault="00FF2F49" w:rsidP="00320224">
            <w:pPr>
              <w:rPr>
                <w:color w:val="000000"/>
                <w:sz w:val="28"/>
                <w:szCs w:val="28"/>
              </w:rPr>
            </w:pPr>
            <w:r w:rsidRPr="008B06C0">
              <w:rPr>
                <w:color w:val="000000"/>
                <w:sz w:val="28"/>
                <w:szCs w:val="28"/>
              </w:rPr>
              <w:t>Зал товарних взірців</w:t>
            </w:r>
          </w:p>
          <w:p w:rsidR="00FF2F49" w:rsidRPr="008B06C0" w:rsidRDefault="00FF2F49" w:rsidP="00320224">
            <w:pPr>
              <w:rPr>
                <w:color w:val="000000"/>
                <w:sz w:val="28"/>
                <w:szCs w:val="28"/>
              </w:rPr>
            </w:pPr>
            <w:r w:rsidRPr="008B06C0">
              <w:rPr>
                <w:color w:val="000000"/>
                <w:sz w:val="28"/>
                <w:szCs w:val="28"/>
              </w:rPr>
              <w:t>м. Івано-Франківськ, Чорновола, 157</w:t>
            </w:r>
          </w:p>
        </w:tc>
        <w:tc>
          <w:tcPr>
            <w:tcW w:w="2196" w:type="dxa"/>
            <w:vAlign w:val="center"/>
          </w:tcPr>
          <w:p w:rsidR="00FF2F49" w:rsidRPr="008B06C0" w:rsidRDefault="00FF2F49" w:rsidP="00320224">
            <w:pPr>
              <w:jc w:val="center"/>
              <w:rPr>
                <w:color w:val="000000"/>
                <w:sz w:val="28"/>
                <w:szCs w:val="28"/>
              </w:rPr>
            </w:pPr>
            <w:r w:rsidRPr="008B06C0">
              <w:rPr>
                <w:color w:val="000000"/>
                <w:sz w:val="28"/>
                <w:szCs w:val="28"/>
              </w:rPr>
              <w:t>1 153,1</w:t>
            </w:r>
          </w:p>
        </w:tc>
      </w:tr>
      <w:tr w:rsidR="00FF2F49" w:rsidTr="00FF2F49">
        <w:tc>
          <w:tcPr>
            <w:tcW w:w="877" w:type="dxa"/>
            <w:vAlign w:val="center"/>
          </w:tcPr>
          <w:p w:rsidR="00FF2F49" w:rsidRPr="008B06C0" w:rsidRDefault="00FF2F49" w:rsidP="00320224">
            <w:pPr>
              <w:jc w:val="center"/>
              <w:rPr>
                <w:sz w:val="28"/>
                <w:szCs w:val="28"/>
              </w:rPr>
            </w:pPr>
            <w:r w:rsidRPr="008B06C0">
              <w:rPr>
                <w:sz w:val="28"/>
                <w:szCs w:val="28"/>
              </w:rPr>
              <w:t>10.</w:t>
            </w:r>
          </w:p>
        </w:tc>
        <w:tc>
          <w:tcPr>
            <w:tcW w:w="6773" w:type="dxa"/>
            <w:vAlign w:val="center"/>
          </w:tcPr>
          <w:p w:rsidR="00FF2F49" w:rsidRPr="008B06C0" w:rsidRDefault="00FF2F49" w:rsidP="00320224">
            <w:pPr>
              <w:rPr>
                <w:b/>
                <w:bCs/>
                <w:sz w:val="28"/>
                <w:szCs w:val="28"/>
              </w:rPr>
            </w:pPr>
            <w:r w:rsidRPr="008B06C0">
              <w:rPr>
                <w:color w:val="000000"/>
                <w:sz w:val="28"/>
                <w:szCs w:val="28"/>
              </w:rPr>
              <w:t>Службово-виробнича будівля</w:t>
            </w:r>
          </w:p>
          <w:p w:rsidR="00FF2F49" w:rsidRPr="008B06C0" w:rsidRDefault="00FF2F49" w:rsidP="00320224">
            <w:pPr>
              <w:rPr>
                <w:b/>
                <w:bCs/>
                <w:sz w:val="28"/>
                <w:szCs w:val="28"/>
              </w:rPr>
            </w:pPr>
            <w:r w:rsidRPr="008B06C0">
              <w:rPr>
                <w:color w:val="000000"/>
                <w:sz w:val="28"/>
                <w:szCs w:val="28"/>
              </w:rPr>
              <w:t>м. Ужгород, вул. Собранецька, 220, літ. А</w:t>
            </w:r>
          </w:p>
        </w:tc>
        <w:tc>
          <w:tcPr>
            <w:tcW w:w="2196" w:type="dxa"/>
            <w:vAlign w:val="center"/>
          </w:tcPr>
          <w:p w:rsidR="00FF2F49" w:rsidRPr="008B06C0" w:rsidRDefault="00FF2F49" w:rsidP="00320224">
            <w:pPr>
              <w:jc w:val="center"/>
              <w:rPr>
                <w:bCs/>
                <w:sz w:val="28"/>
                <w:szCs w:val="28"/>
              </w:rPr>
            </w:pPr>
            <w:r w:rsidRPr="008B06C0">
              <w:rPr>
                <w:color w:val="000000"/>
                <w:sz w:val="28"/>
                <w:szCs w:val="28"/>
              </w:rPr>
              <w:t>1 014,5</w:t>
            </w:r>
          </w:p>
        </w:tc>
      </w:tr>
      <w:tr w:rsidR="00FF2F49" w:rsidTr="00FF2F49">
        <w:tc>
          <w:tcPr>
            <w:tcW w:w="877" w:type="dxa"/>
            <w:vAlign w:val="center"/>
          </w:tcPr>
          <w:p w:rsidR="00FF2F49" w:rsidRPr="008B06C0" w:rsidRDefault="00FF2F49" w:rsidP="00320224">
            <w:pPr>
              <w:jc w:val="center"/>
              <w:rPr>
                <w:sz w:val="28"/>
                <w:szCs w:val="28"/>
              </w:rPr>
            </w:pPr>
            <w:r w:rsidRPr="008B06C0">
              <w:rPr>
                <w:sz w:val="28"/>
                <w:szCs w:val="28"/>
              </w:rPr>
              <w:lastRenderedPageBreak/>
              <w:t>11.</w:t>
            </w:r>
          </w:p>
        </w:tc>
        <w:tc>
          <w:tcPr>
            <w:tcW w:w="6773" w:type="dxa"/>
            <w:vAlign w:val="center"/>
          </w:tcPr>
          <w:p w:rsidR="00FF2F49" w:rsidRPr="008B06C0" w:rsidRDefault="00FF2F49" w:rsidP="00320224">
            <w:pPr>
              <w:rPr>
                <w:b/>
                <w:bCs/>
                <w:sz w:val="28"/>
                <w:szCs w:val="28"/>
              </w:rPr>
            </w:pPr>
            <w:r w:rsidRPr="008B06C0">
              <w:rPr>
                <w:color w:val="000000"/>
                <w:sz w:val="28"/>
                <w:szCs w:val="28"/>
              </w:rPr>
              <w:t>Адмінбудівля</w:t>
            </w:r>
          </w:p>
          <w:p w:rsidR="00FF2F49" w:rsidRPr="008B06C0" w:rsidRDefault="00FF2F49" w:rsidP="00320224">
            <w:pPr>
              <w:rPr>
                <w:color w:val="000000"/>
                <w:sz w:val="28"/>
                <w:szCs w:val="28"/>
                <w:lang w:eastAsia="uk-UA"/>
              </w:rPr>
            </w:pPr>
            <w:r w:rsidRPr="008B06C0">
              <w:rPr>
                <w:color w:val="000000"/>
                <w:sz w:val="28"/>
                <w:szCs w:val="28"/>
              </w:rPr>
              <w:t>м. Чоп, пл. Європейська, 7</w:t>
            </w:r>
          </w:p>
        </w:tc>
        <w:tc>
          <w:tcPr>
            <w:tcW w:w="2196" w:type="dxa"/>
            <w:vAlign w:val="center"/>
          </w:tcPr>
          <w:p w:rsidR="00FF2F49" w:rsidRPr="008B06C0" w:rsidRDefault="00FF2F49" w:rsidP="00320224">
            <w:pPr>
              <w:jc w:val="center"/>
              <w:rPr>
                <w:bCs/>
                <w:sz w:val="28"/>
                <w:szCs w:val="28"/>
              </w:rPr>
            </w:pPr>
            <w:r w:rsidRPr="008B06C0">
              <w:rPr>
                <w:color w:val="000000"/>
                <w:sz w:val="28"/>
                <w:szCs w:val="28"/>
              </w:rPr>
              <w:t>913,6</w:t>
            </w:r>
          </w:p>
        </w:tc>
      </w:tr>
      <w:tr w:rsidR="00FF2F49" w:rsidTr="00FF2F49">
        <w:tc>
          <w:tcPr>
            <w:tcW w:w="877" w:type="dxa"/>
            <w:vAlign w:val="center"/>
          </w:tcPr>
          <w:p w:rsidR="00FF2F49" w:rsidRPr="008B06C0" w:rsidRDefault="00FF2F49" w:rsidP="00320224">
            <w:pPr>
              <w:jc w:val="center"/>
              <w:rPr>
                <w:sz w:val="28"/>
                <w:szCs w:val="28"/>
              </w:rPr>
            </w:pPr>
            <w:r w:rsidRPr="008B06C0">
              <w:rPr>
                <w:sz w:val="28"/>
                <w:szCs w:val="28"/>
              </w:rPr>
              <w:t>12.</w:t>
            </w:r>
          </w:p>
        </w:tc>
        <w:tc>
          <w:tcPr>
            <w:tcW w:w="6773" w:type="dxa"/>
            <w:vAlign w:val="center"/>
          </w:tcPr>
          <w:p w:rsidR="00FF2F49" w:rsidRPr="008B06C0" w:rsidRDefault="00FF2F49" w:rsidP="00320224">
            <w:pPr>
              <w:rPr>
                <w:b/>
                <w:bCs/>
                <w:sz w:val="28"/>
                <w:szCs w:val="28"/>
              </w:rPr>
            </w:pPr>
            <w:r w:rsidRPr="008B06C0">
              <w:rPr>
                <w:color w:val="000000"/>
                <w:sz w:val="28"/>
                <w:szCs w:val="28"/>
              </w:rPr>
              <w:t>Службово-виробнича будівля</w:t>
            </w:r>
          </w:p>
          <w:p w:rsidR="00FF2F49" w:rsidRPr="008B06C0" w:rsidRDefault="00FF2F49" w:rsidP="00320224">
            <w:pPr>
              <w:rPr>
                <w:color w:val="000000"/>
                <w:sz w:val="28"/>
                <w:szCs w:val="28"/>
                <w:lang w:eastAsia="uk-UA"/>
              </w:rPr>
            </w:pPr>
            <w:r w:rsidRPr="008B06C0">
              <w:rPr>
                <w:color w:val="000000"/>
                <w:sz w:val="28"/>
                <w:szCs w:val="28"/>
              </w:rPr>
              <w:t>м. Ужгород, вул. Собранецька, 20, літ. Д</w:t>
            </w:r>
          </w:p>
        </w:tc>
        <w:tc>
          <w:tcPr>
            <w:tcW w:w="2196" w:type="dxa"/>
            <w:vAlign w:val="center"/>
          </w:tcPr>
          <w:p w:rsidR="00FF2F49" w:rsidRPr="008B06C0" w:rsidRDefault="00FF2F49" w:rsidP="00320224">
            <w:pPr>
              <w:jc w:val="center"/>
              <w:rPr>
                <w:color w:val="000000"/>
                <w:sz w:val="28"/>
                <w:szCs w:val="28"/>
                <w:lang w:eastAsia="uk-UA"/>
              </w:rPr>
            </w:pPr>
            <w:r w:rsidRPr="008B06C0">
              <w:rPr>
                <w:color w:val="000000"/>
                <w:sz w:val="28"/>
                <w:szCs w:val="28"/>
              </w:rPr>
              <w:t>266,2</w:t>
            </w:r>
          </w:p>
          <w:p w:rsidR="00FF2F49" w:rsidRPr="008B06C0" w:rsidRDefault="00FF2F49" w:rsidP="00320224">
            <w:pPr>
              <w:jc w:val="center"/>
              <w:rPr>
                <w:bCs/>
                <w:sz w:val="28"/>
                <w:szCs w:val="28"/>
              </w:rPr>
            </w:pPr>
          </w:p>
        </w:tc>
      </w:tr>
      <w:tr w:rsidR="00FF2F49" w:rsidTr="00FF2F49">
        <w:tc>
          <w:tcPr>
            <w:tcW w:w="7650" w:type="dxa"/>
            <w:gridSpan w:val="2"/>
            <w:vAlign w:val="center"/>
          </w:tcPr>
          <w:p w:rsidR="00FF2F49" w:rsidRPr="000768BE" w:rsidRDefault="00FF2F49" w:rsidP="002D36FD">
            <w:pPr>
              <w:jc w:val="both"/>
              <w:rPr>
                <w:color w:val="000000"/>
                <w:sz w:val="28"/>
                <w:szCs w:val="28"/>
              </w:rPr>
            </w:pPr>
            <w:r w:rsidRPr="000768BE">
              <w:rPr>
                <w:color w:val="000000"/>
                <w:sz w:val="28"/>
                <w:szCs w:val="28"/>
              </w:rPr>
              <w:t xml:space="preserve">Всього 12 послуг </w:t>
            </w:r>
            <w:r w:rsidR="002D36FD" w:rsidRPr="002D36FD">
              <w:rPr>
                <w:color w:val="000000"/>
                <w:sz w:val="28"/>
                <w:szCs w:val="28"/>
              </w:rPr>
              <w:t>на загальну площу об’єктів</w:t>
            </w:r>
          </w:p>
        </w:tc>
        <w:tc>
          <w:tcPr>
            <w:tcW w:w="2196" w:type="dxa"/>
            <w:vAlign w:val="center"/>
          </w:tcPr>
          <w:p w:rsidR="00FF2F49" w:rsidRPr="00880193" w:rsidRDefault="00FF2F49" w:rsidP="00320224">
            <w:pPr>
              <w:jc w:val="center"/>
              <w:rPr>
                <w:color w:val="000000"/>
                <w:sz w:val="28"/>
                <w:szCs w:val="28"/>
              </w:rPr>
            </w:pPr>
            <w:r w:rsidRPr="00427B6D">
              <w:rPr>
                <w:b/>
                <w:color w:val="000000"/>
                <w:sz w:val="28"/>
                <w:szCs w:val="28"/>
              </w:rPr>
              <w:t>46 622,90</w:t>
            </w:r>
          </w:p>
        </w:tc>
      </w:tr>
    </w:tbl>
    <w:p w:rsidR="00FF2F49" w:rsidRDefault="00FF2F49" w:rsidP="001734D9">
      <w:pPr>
        <w:pBdr>
          <w:top w:val="nil"/>
          <w:left w:val="nil"/>
          <w:bottom w:val="nil"/>
          <w:right w:val="nil"/>
          <w:between w:val="nil"/>
        </w:pBdr>
        <w:ind w:firstLine="357"/>
        <w:jc w:val="center"/>
        <w:rPr>
          <w:b/>
          <w:color w:val="000000"/>
        </w:rPr>
      </w:pPr>
    </w:p>
    <w:p w:rsidR="00B64A51" w:rsidRDefault="00B64A51" w:rsidP="001734D9">
      <w:pPr>
        <w:pBdr>
          <w:top w:val="nil"/>
          <w:left w:val="nil"/>
          <w:bottom w:val="nil"/>
          <w:right w:val="nil"/>
          <w:between w:val="nil"/>
        </w:pBdr>
        <w:ind w:firstLine="357"/>
        <w:jc w:val="center"/>
        <w:rPr>
          <w:b/>
          <w:color w:val="000000"/>
        </w:rPr>
      </w:pPr>
    </w:p>
    <w:p w:rsidR="00FF2F49" w:rsidRDefault="00FF2F49" w:rsidP="00FF2F49">
      <w:pPr>
        <w:autoSpaceDE w:val="0"/>
        <w:autoSpaceDN w:val="0"/>
        <w:adjustRightInd w:val="0"/>
        <w:ind w:firstLine="567"/>
        <w:jc w:val="both"/>
        <w:rPr>
          <w:b/>
          <w:color w:val="000000"/>
        </w:rPr>
      </w:pPr>
      <w:r w:rsidRPr="00AC7B71">
        <w:rPr>
          <w:b/>
          <w:color w:val="000000"/>
        </w:rPr>
        <w:t xml:space="preserve">Сертифікація енергетичної ефективності </w:t>
      </w:r>
      <w:r>
        <w:rPr>
          <w:b/>
          <w:color w:val="000000"/>
        </w:rPr>
        <w:t>Об’єктів</w:t>
      </w:r>
      <w:r w:rsidRPr="00AC7B71">
        <w:rPr>
          <w:b/>
          <w:color w:val="000000"/>
        </w:rPr>
        <w:t xml:space="preserve"> включає такі заходи: </w:t>
      </w:r>
    </w:p>
    <w:p w:rsidR="00FF2F49" w:rsidRPr="00AC7B71" w:rsidRDefault="00FF2F49" w:rsidP="00FF2F49">
      <w:pPr>
        <w:autoSpaceDE w:val="0"/>
        <w:autoSpaceDN w:val="0"/>
        <w:adjustRightInd w:val="0"/>
        <w:ind w:firstLine="567"/>
        <w:jc w:val="both"/>
        <w:rPr>
          <w:b/>
          <w:color w:val="000000"/>
        </w:rPr>
      </w:pPr>
    </w:p>
    <w:p w:rsidR="00FF2F49" w:rsidRPr="00AC7B71" w:rsidRDefault="00FF2F49" w:rsidP="00FF2F49">
      <w:pPr>
        <w:numPr>
          <w:ilvl w:val="0"/>
          <w:numId w:val="41"/>
        </w:numPr>
        <w:autoSpaceDE w:val="0"/>
        <w:autoSpaceDN w:val="0"/>
        <w:adjustRightInd w:val="0"/>
        <w:ind w:left="0" w:firstLine="567"/>
        <w:jc w:val="both"/>
        <w:rPr>
          <w:color w:val="000000"/>
        </w:rPr>
      </w:pPr>
      <w:r w:rsidRPr="00AC7B71">
        <w:rPr>
          <w:color w:val="000000"/>
        </w:rPr>
        <w:t xml:space="preserve">Отримання всіх відповідних технічних даних про існуючі </w:t>
      </w:r>
      <w:r>
        <w:rPr>
          <w:color w:val="000000"/>
        </w:rPr>
        <w:t>О</w:t>
      </w:r>
      <w:r w:rsidRPr="00AC7B71">
        <w:rPr>
          <w:color w:val="000000"/>
        </w:rPr>
        <w:t>б’єкти</w:t>
      </w:r>
      <w:r>
        <w:rPr>
          <w:color w:val="000000"/>
        </w:rPr>
        <w:t>.</w:t>
      </w:r>
    </w:p>
    <w:p w:rsidR="00FF2F49" w:rsidRPr="00AC7B71" w:rsidRDefault="00FF2F49" w:rsidP="00FF2F49">
      <w:pPr>
        <w:numPr>
          <w:ilvl w:val="0"/>
          <w:numId w:val="41"/>
        </w:numPr>
        <w:autoSpaceDE w:val="0"/>
        <w:autoSpaceDN w:val="0"/>
        <w:adjustRightInd w:val="0"/>
        <w:jc w:val="both"/>
        <w:rPr>
          <w:color w:val="000000"/>
        </w:rPr>
      </w:pPr>
      <w:r w:rsidRPr="00AC7B71">
        <w:rPr>
          <w:color w:val="000000"/>
        </w:rPr>
        <w:t xml:space="preserve">Розрахунок рівня енергетичної ефективності </w:t>
      </w:r>
      <w:r w:rsidRPr="00CA35A0">
        <w:rPr>
          <w:color w:val="000000"/>
        </w:rPr>
        <w:t xml:space="preserve">Об’єктів </w:t>
      </w:r>
      <w:r w:rsidRPr="00AC7B71">
        <w:rPr>
          <w:color w:val="000000"/>
        </w:rPr>
        <w:t>відповідно до вимог статті 5 Закону України «Про енергетичну ефективність будівель»</w:t>
      </w:r>
      <w:r>
        <w:rPr>
          <w:color w:val="000000"/>
        </w:rPr>
        <w:t>.</w:t>
      </w:r>
    </w:p>
    <w:p w:rsidR="00FF2F49" w:rsidRPr="00AC7B71" w:rsidRDefault="00FF2F49" w:rsidP="00FF2F49">
      <w:pPr>
        <w:numPr>
          <w:ilvl w:val="0"/>
          <w:numId w:val="41"/>
        </w:numPr>
        <w:autoSpaceDE w:val="0"/>
        <w:autoSpaceDN w:val="0"/>
        <w:adjustRightInd w:val="0"/>
        <w:ind w:left="0" w:firstLine="567"/>
        <w:jc w:val="both"/>
        <w:rPr>
          <w:color w:val="000000"/>
        </w:rPr>
      </w:pPr>
      <w:r w:rsidRPr="00AC7B71">
        <w:rPr>
          <w:color w:val="000000"/>
        </w:rPr>
        <w:t>Складання енергетичного сертифікату</w:t>
      </w:r>
      <w:r>
        <w:rPr>
          <w:color w:val="000000"/>
        </w:rPr>
        <w:t>.</w:t>
      </w:r>
      <w:r w:rsidRPr="00AC7B71">
        <w:rPr>
          <w:color w:val="000000"/>
        </w:rPr>
        <w:t xml:space="preserve"> </w:t>
      </w:r>
    </w:p>
    <w:p w:rsidR="00FF2F49" w:rsidRPr="00AC7B71" w:rsidRDefault="00FF2F49" w:rsidP="00FF2F49">
      <w:pPr>
        <w:numPr>
          <w:ilvl w:val="0"/>
          <w:numId w:val="41"/>
        </w:numPr>
        <w:autoSpaceDE w:val="0"/>
        <w:autoSpaceDN w:val="0"/>
        <w:adjustRightInd w:val="0"/>
        <w:ind w:left="0" w:firstLine="567"/>
        <w:jc w:val="both"/>
        <w:rPr>
          <w:color w:val="000000"/>
        </w:rPr>
      </w:pPr>
      <w:r w:rsidRPr="00AC7B71">
        <w:rPr>
          <w:color w:val="000000"/>
        </w:rPr>
        <w:t>Реєстрація енергетичного сертифіката в Єдиній державній електронній системі у сфері будівництва</w:t>
      </w:r>
      <w:r>
        <w:rPr>
          <w:color w:val="000000"/>
        </w:rPr>
        <w:t>.</w:t>
      </w:r>
    </w:p>
    <w:p w:rsidR="00FF2F49" w:rsidRPr="00AC7B71" w:rsidRDefault="00FF2F49" w:rsidP="00FF2F49">
      <w:pPr>
        <w:numPr>
          <w:ilvl w:val="0"/>
          <w:numId w:val="41"/>
        </w:numPr>
        <w:autoSpaceDE w:val="0"/>
        <w:autoSpaceDN w:val="0"/>
        <w:adjustRightInd w:val="0"/>
        <w:ind w:left="0" w:firstLine="567"/>
        <w:jc w:val="both"/>
        <w:rPr>
          <w:color w:val="000000"/>
        </w:rPr>
      </w:pPr>
      <w:r w:rsidRPr="00AC7B71">
        <w:rPr>
          <w:color w:val="000000"/>
        </w:rPr>
        <w:t xml:space="preserve">Представлення результатів Замовнику. </w:t>
      </w:r>
    </w:p>
    <w:p w:rsidR="00FF2F49" w:rsidRPr="00AC7B71" w:rsidRDefault="00FF2F49" w:rsidP="00FF2F49">
      <w:pPr>
        <w:autoSpaceDE w:val="0"/>
        <w:autoSpaceDN w:val="0"/>
        <w:adjustRightInd w:val="0"/>
        <w:ind w:firstLine="567"/>
        <w:jc w:val="both"/>
        <w:rPr>
          <w:color w:val="000000"/>
        </w:rPr>
      </w:pPr>
      <w:r w:rsidRPr="00AC7B71">
        <w:rPr>
          <w:color w:val="000000"/>
        </w:rPr>
        <w:t>Енергетична ефективніс</w:t>
      </w:r>
      <w:bookmarkStart w:id="0" w:name="_GoBack"/>
      <w:bookmarkEnd w:id="0"/>
      <w:r w:rsidRPr="00AC7B71">
        <w:rPr>
          <w:color w:val="000000"/>
        </w:rPr>
        <w:t xml:space="preserve">ть </w:t>
      </w:r>
      <w:r w:rsidRPr="00CA35A0">
        <w:rPr>
          <w:color w:val="000000"/>
        </w:rPr>
        <w:t xml:space="preserve">Об’єктів </w:t>
      </w:r>
      <w:r w:rsidRPr="00AC7B71">
        <w:rPr>
          <w:color w:val="000000"/>
        </w:rPr>
        <w:t>повинна визначатись відповідно до методики, що розробляється з урахуванням вимог актів законодавства Європейського Союзу, Енергетичного Співтовариства, гармонізованих європейських стандартів у сфері енергетичної ефективності будівель та затверджується центральним органом виконавчої влади, що забезпечує формування державної політики у сфері будівництва.</w:t>
      </w:r>
    </w:p>
    <w:p w:rsidR="00FF2F49" w:rsidRPr="00AC7B71" w:rsidRDefault="00FF2F49" w:rsidP="00FF2F49">
      <w:pPr>
        <w:autoSpaceDE w:val="0"/>
        <w:autoSpaceDN w:val="0"/>
        <w:adjustRightInd w:val="0"/>
        <w:ind w:firstLine="567"/>
        <w:jc w:val="both"/>
      </w:pPr>
      <w:r w:rsidRPr="00AC7B71">
        <w:t xml:space="preserve">До </w:t>
      </w:r>
      <w:r>
        <w:t xml:space="preserve">виконання Послуг </w:t>
      </w:r>
      <w:r w:rsidRPr="00AC7B71">
        <w:t>повинні залучатись кваліфіковані працівники, які мають професійну атестацію енергоаудитора.</w:t>
      </w:r>
    </w:p>
    <w:p w:rsidR="00FF2F49" w:rsidRPr="00AC7B71" w:rsidRDefault="00FF2F49" w:rsidP="00FF2F49">
      <w:pPr>
        <w:autoSpaceDE w:val="0"/>
        <w:autoSpaceDN w:val="0"/>
        <w:adjustRightInd w:val="0"/>
        <w:ind w:firstLine="567"/>
        <w:jc w:val="both"/>
      </w:pPr>
      <w:r w:rsidRPr="00AC7B71">
        <w:t xml:space="preserve">На всі прилади вимірювання, що будуть використані під час проведення енергетичного обстеження, мають бути документи з невичерпаним строком метрологічної калібровки та/або метрологічної повірки. </w:t>
      </w:r>
    </w:p>
    <w:p w:rsidR="00FF2F49" w:rsidRPr="00AC7B71" w:rsidRDefault="00FF2F49" w:rsidP="00FF2F49">
      <w:pPr>
        <w:autoSpaceDE w:val="0"/>
        <w:autoSpaceDN w:val="0"/>
        <w:adjustRightInd w:val="0"/>
        <w:ind w:firstLine="567"/>
        <w:jc w:val="both"/>
      </w:pPr>
      <w:r>
        <w:t>Виконавець</w:t>
      </w:r>
      <w:r w:rsidRPr="00AC7B71">
        <w:t xml:space="preserve"> несе відповідальність за виконання вимог охорони праці, техніки безпеки, дорожнього руху транспортних засобів та пожежної безпеки на об’єктах та на території Замовника під час виконання </w:t>
      </w:r>
      <w:r>
        <w:t>Послуг.</w:t>
      </w:r>
    </w:p>
    <w:p w:rsidR="00FF2F49" w:rsidRDefault="00FF2F49" w:rsidP="00FF2F49">
      <w:pPr>
        <w:autoSpaceDE w:val="0"/>
        <w:autoSpaceDN w:val="0"/>
        <w:adjustRightInd w:val="0"/>
        <w:ind w:firstLine="567"/>
        <w:jc w:val="both"/>
        <w:rPr>
          <w:b/>
          <w:bCs/>
        </w:rPr>
      </w:pPr>
    </w:p>
    <w:p w:rsidR="00FF2F49" w:rsidRPr="00AC7B71" w:rsidRDefault="00FF2F49" w:rsidP="00FF2F49">
      <w:pPr>
        <w:autoSpaceDE w:val="0"/>
        <w:autoSpaceDN w:val="0"/>
        <w:adjustRightInd w:val="0"/>
        <w:ind w:firstLine="567"/>
        <w:jc w:val="both"/>
        <w:rPr>
          <w:b/>
          <w:bCs/>
        </w:rPr>
      </w:pPr>
      <w:r w:rsidRPr="00AC7B71">
        <w:rPr>
          <w:b/>
          <w:bCs/>
        </w:rPr>
        <w:t>Нормами визначено наступні етапи проведення сертифікації енергетичної ефективності та вимоги до них:</w:t>
      </w:r>
    </w:p>
    <w:p w:rsidR="00FF2F49" w:rsidRPr="00AC7B71" w:rsidRDefault="00FF2F49" w:rsidP="00FF2F49">
      <w:pPr>
        <w:autoSpaceDE w:val="0"/>
        <w:autoSpaceDN w:val="0"/>
        <w:adjustRightInd w:val="0"/>
        <w:ind w:firstLine="567"/>
        <w:jc w:val="both"/>
        <w:rPr>
          <w:bCs/>
        </w:rPr>
      </w:pPr>
      <w:r w:rsidRPr="00AC7B71">
        <w:rPr>
          <w:bCs/>
        </w:rPr>
        <w:t>1. Збір та обробка інформації про фактичні або проектні характеристики огороджувальних конструкцій та інженерних систем.</w:t>
      </w:r>
    </w:p>
    <w:p w:rsidR="00FF2F49" w:rsidRPr="00AC7B71" w:rsidRDefault="00FF2F49" w:rsidP="00FF2F49">
      <w:pPr>
        <w:autoSpaceDE w:val="0"/>
        <w:autoSpaceDN w:val="0"/>
        <w:adjustRightInd w:val="0"/>
        <w:ind w:firstLine="567"/>
        <w:jc w:val="both"/>
        <w:rPr>
          <w:bCs/>
        </w:rPr>
      </w:pPr>
      <w:r w:rsidRPr="00AC7B71">
        <w:rPr>
          <w:bCs/>
        </w:rPr>
        <w:t>2. Оцінка відповідності розрахункового рівня енергетичної ефективності встановленим мінімальним вимогам до енергетичної ефективності.</w:t>
      </w:r>
    </w:p>
    <w:p w:rsidR="00FF2F49" w:rsidRPr="00AC7B71" w:rsidRDefault="00FF2F49" w:rsidP="00FF2F49">
      <w:pPr>
        <w:autoSpaceDE w:val="0"/>
        <w:autoSpaceDN w:val="0"/>
        <w:adjustRightInd w:val="0"/>
        <w:ind w:firstLine="567"/>
        <w:jc w:val="both"/>
        <w:rPr>
          <w:bCs/>
        </w:rPr>
      </w:pPr>
      <w:r w:rsidRPr="00AC7B71">
        <w:rPr>
          <w:bCs/>
        </w:rPr>
        <w:t>3. Розроблення рекомендацій щодо підвищення рівня енергетичної ефективності.</w:t>
      </w:r>
    </w:p>
    <w:p w:rsidR="00FF2F49" w:rsidRPr="00AC7B71" w:rsidRDefault="00FF2F49" w:rsidP="00FF2F49">
      <w:pPr>
        <w:autoSpaceDE w:val="0"/>
        <w:autoSpaceDN w:val="0"/>
        <w:adjustRightInd w:val="0"/>
        <w:ind w:firstLine="567"/>
        <w:jc w:val="both"/>
        <w:rPr>
          <w:color w:val="000000"/>
        </w:rPr>
      </w:pPr>
      <w:r w:rsidRPr="00AC7B71">
        <w:rPr>
          <w:color w:val="000000"/>
        </w:rPr>
        <w:t xml:space="preserve">Інформація, яка необхідна для розрахунків показників енергетичної ефективності будівель, встановлюється на підставі проектної документації на будівлю згідно з вимогами ДБН А.2.2-3:2014 «Склад та зміст проектної документації на будівництво». </w:t>
      </w:r>
    </w:p>
    <w:p w:rsidR="00FF2F49" w:rsidRPr="00AC7B71" w:rsidRDefault="00FF2F49" w:rsidP="00FF2F49">
      <w:pPr>
        <w:autoSpaceDE w:val="0"/>
        <w:autoSpaceDN w:val="0"/>
        <w:adjustRightInd w:val="0"/>
        <w:ind w:firstLine="567"/>
        <w:jc w:val="both"/>
        <w:rPr>
          <w:bCs/>
        </w:rPr>
      </w:pPr>
      <w:r w:rsidRPr="00AC7B71">
        <w:rPr>
          <w:bCs/>
        </w:rPr>
        <w:t>У випадку відсутності проектної документації відповідні дані визначаються за результатами виявлення фактичного стану будівлі.</w:t>
      </w:r>
    </w:p>
    <w:p w:rsidR="00FF2F49" w:rsidRDefault="00FF2F49" w:rsidP="00FF2F49">
      <w:pPr>
        <w:ind w:firstLine="567"/>
        <w:jc w:val="both"/>
        <w:rPr>
          <w:b/>
        </w:rPr>
      </w:pPr>
    </w:p>
    <w:p w:rsidR="00FF2F49" w:rsidRPr="00AC7B71" w:rsidRDefault="00FF2F49" w:rsidP="00FF2F49">
      <w:pPr>
        <w:ind w:firstLine="567"/>
        <w:jc w:val="both"/>
        <w:rPr>
          <w:b/>
        </w:rPr>
      </w:pPr>
      <w:r w:rsidRPr="00AC7B71">
        <w:rPr>
          <w:b/>
        </w:rPr>
        <w:t xml:space="preserve">У процесі визначення енергетичної ефективності </w:t>
      </w:r>
      <w:r w:rsidRPr="00CA35A0">
        <w:rPr>
          <w:b/>
        </w:rPr>
        <w:t xml:space="preserve">Об’єктів </w:t>
      </w:r>
      <w:r w:rsidRPr="00AC7B71">
        <w:rPr>
          <w:b/>
        </w:rPr>
        <w:t>обов’язково врахувати інформацію про:</w:t>
      </w:r>
    </w:p>
    <w:p w:rsidR="00FF2F49" w:rsidRPr="00AC7B71" w:rsidRDefault="00FF2F49" w:rsidP="00FF2F49">
      <w:pPr>
        <w:ind w:firstLine="567"/>
        <w:jc w:val="both"/>
      </w:pPr>
      <w:r w:rsidRPr="00AC7B71">
        <w:t>1) місцеві кліматичні умови;</w:t>
      </w:r>
    </w:p>
    <w:p w:rsidR="00FF2F49" w:rsidRPr="00AC7B71" w:rsidRDefault="00FF2F49" w:rsidP="00FF2F49">
      <w:pPr>
        <w:ind w:firstLine="567"/>
        <w:jc w:val="both"/>
      </w:pPr>
      <w:r w:rsidRPr="00AC7B71">
        <w:t xml:space="preserve">2) функціональне призначення, архітектурно-планувальне та конструктивне рішення </w:t>
      </w:r>
      <w:r w:rsidRPr="00CA35A0">
        <w:rPr>
          <w:color w:val="000000"/>
        </w:rPr>
        <w:t>Об’єктів</w:t>
      </w:r>
      <w:r w:rsidRPr="00AC7B71">
        <w:t>;</w:t>
      </w:r>
    </w:p>
    <w:p w:rsidR="00FF2F49" w:rsidRPr="00AC7B71" w:rsidRDefault="00FF2F49" w:rsidP="00FF2F49">
      <w:pPr>
        <w:ind w:firstLine="567"/>
        <w:jc w:val="both"/>
      </w:pPr>
      <w:r w:rsidRPr="00AC7B71">
        <w:t xml:space="preserve">3) геометричні (враховуючи розташування та орієнтацію огороджувальних конструкцій), теплотехнічні та енергетичні характеристики </w:t>
      </w:r>
      <w:r w:rsidRPr="00CA35A0">
        <w:rPr>
          <w:color w:val="000000"/>
        </w:rPr>
        <w:t>Об’єктів</w:t>
      </w:r>
      <w:r w:rsidRPr="00AC7B71">
        <w:t xml:space="preserve">, а також енергетичний баланс </w:t>
      </w:r>
      <w:r w:rsidRPr="00CA35A0">
        <w:rPr>
          <w:color w:val="000000"/>
        </w:rPr>
        <w:t>Об’єктів</w:t>
      </w:r>
      <w:r w:rsidRPr="00AC7B71">
        <w:t>;</w:t>
      </w:r>
    </w:p>
    <w:p w:rsidR="00FF2F49" w:rsidRPr="00AC7B71" w:rsidRDefault="00FF2F49" w:rsidP="00FF2F49">
      <w:pPr>
        <w:ind w:firstLine="567"/>
        <w:jc w:val="both"/>
      </w:pPr>
      <w:r w:rsidRPr="00AC7B71">
        <w:t xml:space="preserve">4) нормативні санітарно-гігієнічні та мікрокліматичні умови приміщень </w:t>
      </w:r>
      <w:r w:rsidRPr="00CA35A0">
        <w:rPr>
          <w:color w:val="000000"/>
        </w:rPr>
        <w:t>Об’єктів</w:t>
      </w:r>
      <w:r w:rsidRPr="00AC7B71">
        <w:t>;</w:t>
      </w:r>
    </w:p>
    <w:p w:rsidR="00FF2F49" w:rsidRPr="00AC7B71" w:rsidRDefault="00FF2F49" w:rsidP="00FF2F49">
      <w:pPr>
        <w:ind w:firstLine="567"/>
        <w:jc w:val="both"/>
      </w:pPr>
      <w:r w:rsidRPr="00AC7B71">
        <w:t>5) нормативний строк експлуатації огороджувальних конструкцій та елементів (у тому числі обладнання) інженерних систем;</w:t>
      </w:r>
    </w:p>
    <w:p w:rsidR="00FF2F49" w:rsidRPr="00AC7B71" w:rsidRDefault="00FF2F49" w:rsidP="00FF2F49">
      <w:pPr>
        <w:ind w:firstLine="567"/>
        <w:jc w:val="both"/>
      </w:pPr>
      <w:r w:rsidRPr="00AC7B71">
        <w:t>6) технічні характеристики інженерних систем;</w:t>
      </w:r>
    </w:p>
    <w:p w:rsidR="00FF2F49" w:rsidRPr="00AC7B71" w:rsidRDefault="00FF2F49" w:rsidP="00FF2F49">
      <w:pPr>
        <w:ind w:firstLine="567"/>
        <w:jc w:val="both"/>
      </w:pPr>
      <w:r w:rsidRPr="00AC7B71">
        <w:lastRenderedPageBreak/>
        <w:t>7) використання відновлюваних джерел енергії, пасивних сонячних систем та систем захисту від сонця, а також енергії, виробленої шляхом когенерації.</w:t>
      </w:r>
    </w:p>
    <w:p w:rsidR="00FF2F49" w:rsidRDefault="00FF2F49" w:rsidP="00FF2F49">
      <w:pPr>
        <w:ind w:firstLine="567"/>
        <w:jc w:val="both"/>
        <w:rPr>
          <w:b/>
        </w:rPr>
      </w:pPr>
    </w:p>
    <w:p w:rsidR="00FF2F49" w:rsidRDefault="00FF2F49" w:rsidP="00FF2F49">
      <w:pPr>
        <w:ind w:firstLine="567"/>
        <w:jc w:val="both"/>
        <w:rPr>
          <w:b/>
        </w:rPr>
      </w:pPr>
      <w:r w:rsidRPr="00AC7B71">
        <w:rPr>
          <w:b/>
        </w:rPr>
        <w:t>Результати повинні бути представлені в друкованому вигляді, а також передані до електронної бази даних сертифікатів.</w:t>
      </w:r>
    </w:p>
    <w:p w:rsidR="00FF2F49" w:rsidRDefault="00FF2F49" w:rsidP="00FF2F49">
      <w:pPr>
        <w:tabs>
          <w:tab w:val="num" w:pos="0"/>
        </w:tabs>
        <w:rPr>
          <w:b/>
        </w:rPr>
      </w:pPr>
    </w:p>
    <w:p w:rsidR="00FF2F49" w:rsidRPr="00150B77" w:rsidRDefault="00FF2F49" w:rsidP="00FF2F49">
      <w:pPr>
        <w:spacing w:before="120" w:after="120"/>
        <w:ind w:firstLine="709"/>
        <w:jc w:val="both"/>
      </w:pPr>
    </w:p>
    <w:p w:rsidR="00FF2F49" w:rsidRDefault="00FF2F49" w:rsidP="00FF2F49">
      <w:pPr>
        <w:pBdr>
          <w:top w:val="single" w:sz="4" w:space="1" w:color="auto"/>
        </w:pBdr>
        <w:spacing w:before="120" w:after="120"/>
        <w:jc w:val="center"/>
        <w:rPr>
          <w:b/>
        </w:rPr>
      </w:pPr>
      <w:r w:rsidRPr="00150B77">
        <w:rPr>
          <w:b/>
          <w:i/>
        </w:rPr>
        <w:t>(Посада, прізвище, ініціали, підпис уповноваженої особи учасника)</w:t>
      </w:r>
    </w:p>
    <w:p w:rsidR="00FF2F49" w:rsidRPr="004C799B" w:rsidRDefault="00FF2F49" w:rsidP="00FF2F49">
      <w:pPr>
        <w:jc w:val="center"/>
      </w:pPr>
    </w:p>
    <w:p w:rsidR="00FF2F49" w:rsidRDefault="00FF2F49" w:rsidP="001734D9">
      <w:pPr>
        <w:pBdr>
          <w:top w:val="nil"/>
          <w:left w:val="nil"/>
          <w:bottom w:val="nil"/>
          <w:right w:val="nil"/>
          <w:between w:val="nil"/>
        </w:pBdr>
        <w:ind w:firstLine="357"/>
        <w:jc w:val="center"/>
        <w:rPr>
          <w:b/>
          <w:color w:val="000000"/>
        </w:rPr>
      </w:pPr>
    </w:p>
    <w:sectPr w:rsidR="00FF2F49" w:rsidSect="00DE6FB4">
      <w:pgSz w:w="11906" w:h="16838"/>
      <w:pgMar w:top="709" w:right="566"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ED9" w:rsidRDefault="00BC5ED9">
      <w:r>
        <w:separator/>
      </w:r>
    </w:p>
  </w:endnote>
  <w:endnote w:type="continuationSeparator" w:id="0">
    <w:p w:rsidR="00BC5ED9" w:rsidRDefault="00BC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ED9" w:rsidRDefault="00BC5ED9">
      <w:r>
        <w:separator/>
      </w:r>
    </w:p>
  </w:footnote>
  <w:footnote w:type="continuationSeparator" w:id="0">
    <w:p w:rsidR="00BC5ED9" w:rsidRDefault="00BC5E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C882BEFE"/>
    <w:lvl w:ilvl="0" w:tplc="0419000F">
      <w:start w:val="1"/>
      <w:numFmt w:val="decimal"/>
      <w:lvlText w:val="%1."/>
      <w:lvlJc w:val="left"/>
      <w:pPr>
        <w:tabs>
          <w:tab w:val="num" w:pos="540"/>
        </w:tabs>
        <w:ind w:left="54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 w15:restartNumberingAfterBreak="0">
    <w:nsid w:val="06121B7C"/>
    <w:multiLevelType w:val="multilevel"/>
    <w:tmpl w:val="33E2BA24"/>
    <w:lvl w:ilvl="0">
      <w:start w:val="6"/>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597D14"/>
    <w:multiLevelType w:val="multilevel"/>
    <w:tmpl w:val="5802AFF6"/>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5" w15:restartNumberingAfterBreak="0">
    <w:nsid w:val="184E0BD8"/>
    <w:multiLevelType w:val="multilevel"/>
    <w:tmpl w:val="334E87B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7" w15:restartNumberingAfterBreak="0">
    <w:nsid w:val="1A1C4AF7"/>
    <w:multiLevelType w:val="multilevel"/>
    <w:tmpl w:val="31EEE1F2"/>
    <w:lvl w:ilvl="0">
      <w:start w:val="2"/>
      <w:numFmt w:val="decimal"/>
      <w:lvlText w:val="%1"/>
      <w:lvlJc w:val="left"/>
      <w:pPr>
        <w:ind w:left="360" w:hanging="360"/>
      </w:pPr>
      <w:rPr>
        <w:vertAlign w:val="baseline"/>
      </w:rPr>
    </w:lvl>
    <w:lvl w:ilvl="1">
      <w:start w:val="1"/>
      <w:numFmt w:val="decimal"/>
      <w:lvlText w:val="%1.%2"/>
      <w:lvlJc w:val="left"/>
      <w:pPr>
        <w:ind w:left="1429" w:hanging="360"/>
      </w:pPr>
      <w:rPr>
        <w:vertAlign w:val="baseline"/>
      </w:rPr>
    </w:lvl>
    <w:lvl w:ilvl="2">
      <w:start w:val="1"/>
      <w:numFmt w:val="decimal"/>
      <w:lvlText w:val="%1.%2.%3"/>
      <w:lvlJc w:val="left"/>
      <w:pPr>
        <w:ind w:left="2858" w:hanging="720"/>
      </w:pPr>
      <w:rPr>
        <w:vertAlign w:val="baseline"/>
      </w:rPr>
    </w:lvl>
    <w:lvl w:ilvl="3">
      <w:start w:val="1"/>
      <w:numFmt w:val="decimal"/>
      <w:lvlText w:val="%1.%2.%3.%4"/>
      <w:lvlJc w:val="left"/>
      <w:pPr>
        <w:ind w:left="3927" w:hanging="720"/>
      </w:pPr>
      <w:rPr>
        <w:vertAlign w:val="baseline"/>
      </w:rPr>
    </w:lvl>
    <w:lvl w:ilvl="4">
      <w:start w:val="1"/>
      <w:numFmt w:val="decimal"/>
      <w:lvlText w:val="%1.%2.%3.%4.%5"/>
      <w:lvlJc w:val="left"/>
      <w:pPr>
        <w:ind w:left="5356" w:hanging="1080"/>
      </w:pPr>
      <w:rPr>
        <w:vertAlign w:val="baseline"/>
      </w:rPr>
    </w:lvl>
    <w:lvl w:ilvl="5">
      <w:start w:val="1"/>
      <w:numFmt w:val="decimal"/>
      <w:lvlText w:val="%1.%2.%3.%4.%5.%6"/>
      <w:lvlJc w:val="left"/>
      <w:pPr>
        <w:ind w:left="6425" w:hanging="1080"/>
      </w:pPr>
      <w:rPr>
        <w:vertAlign w:val="baseline"/>
      </w:rPr>
    </w:lvl>
    <w:lvl w:ilvl="6">
      <w:start w:val="1"/>
      <w:numFmt w:val="decimal"/>
      <w:lvlText w:val="%1.%2.%3.%4.%5.%6.%7"/>
      <w:lvlJc w:val="left"/>
      <w:pPr>
        <w:ind w:left="7854" w:hanging="1440"/>
      </w:pPr>
      <w:rPr>
        <w:vertAlign w:val="baseline"/>
      </w:rPr>
    </w:lvl>
    <w:lvl w:ilvl="7">
      <w:start w:val="1"/>
      <w:numFmt w:val="decimal"/>
      <w:lvlText w:val="%1.%2.%3.%4.%5.%6.%7.%8"/>
      <w:lvlJc w:val="left"/>
      <w:pPr>
        <w:ind w:left="8923" w:hanging="1440"/>
      </w:pPr>
      <w:rPr>
        <w:vertAlign w:val="baseline"/>
      </w:rPr>
    </w:lvl>
    <w:lvl w:ilvl="8">
      <w:start w:val="1"/>
      <w:numFmt w:val="decimal"/>
      <w:lvlText w:val="%1.%2.%3.%4.%5.%6.%7.%8.%9"/>
      <w:lvlJc w:val="left"/>
      <w:pPr>
        <w:ind w:left="10352" w:hanging="1800"/>
      </w:pPr>
      <w:rPr>
        <w:vertAlign w:val="baseline"/>
      </w:rPr>
    </w:lvl>
  </w:abstractNum>
  <w:abstractNum w:abstractNumId="8"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475724"/>
    <w:multiLevelType w:val="multilevel"/>
    <w:tmpl w:val="F36E6A5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AD1BCF"/>
    <w:multiLevelType w:val="multilevel"/>
    <w:tmpl w:val="18E44EF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32C607E"/>
    <w:multiLevelType w:val="hybridMultilevel"/>
    <w:tmpl w:val="1B2231C6"/>
    <w:lvl w:ilvl="0" w:tplc="ECFC0E48">
      <w:start w:val="1"/>
      <w:numFmt w:val="decimal"/>
      <w:lvlText w:val="%1."/>
      <w:lvlJc w:val="left"/>
      <w:pPr>
        <w:tabs>
          <w:tab w:val="num" w:pos="360"/>
        </w:tabs>
        <w:ind w:left="360"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A4B20EB"/>
    <w:multiLevelType w:val="multilevel"/>
    <w:tmpl w:val="15E8D81C"/>
    <w:lvl w:ilvl="0">
      <w:start w:val="3"/>
      <w:numFmt w:val="decimal"/>
      <w:lvlText w:val="%1."/>
      <w:lvlJc w:val="left"/>
      <w:pPr>
        <w:ind w:left="360" w:hanging="360"/>
      </w:pPr>
      <w:rPr>
        <w:vertAlign w:val="baseline"/>
      </w:rPr>
    </w:lvl>
    <w:lvl w:ilvl="1">
      <w:start w:val="2"/>
      <w:numFmt w:val="decimal"/>
      <w:lvlText w:val="%1.%2."/>
      <w:lvlJc w:val="left"/>
      <w:pPr>
        <w:ind w:left="1360" w:hanging="360"/>
      </w:pPr>
      <w:rPr>
        <w:vertAlign w:val="baseline"/>
      </w:rPr>
    </w:lvl>
    <w:lvl w:ilvl="2">
      <w:start w:val="1"/>
      <w:numFmt w:val="decimal"/>
      <w:lvlText w:val="%1.%2.%3."/>
      <w:lvlJc w:val="left"/>
      <w:pPr>
        <w:ind w:left="2720" w:hanging="720"/>
      </w:pPr>
      <w:rPr>
        <w:vertAlign w:val="baseline"/>
      </w:rPr>
    </w:lvl>
    <w:lvl w:ilvl="3">
      <w:start w:val="1"/>
      <w:numFmt w:val="decimal"/>
      <w:lvlText w:val="%1.%2.%3.%4."/>
      <w:lvlJc w:val="left"/>
      <w:pPr>
        <w:ind w:left="3720" w:hanging="720"/>
      </w:pPr>
      <w:rPr>
        <w:vertAlign w:val="baseline"/>
      </w:rPr>
    </w:lvl>
    <w:lvl w:ilvl="4">
      <w:start w:val="1"/>
      <w:numFmt w:val="decimal"/>
      <w:lvlText w:val="%1.%2.%3.%4.%5."/>
      <w:lvlJc w:val="left"/>
      <w:pPr>
        <w:ind w:left="5080" w:hanging="1080"/>
      </w:pPr>
      <w:rPr>
        <w:vertAlign w:val="baseline"/>
      </w:rPr>
    </w:lvl>
    <w:lvl w:ilvl="5">
      <w:start w:val="1"/>
      <w:numFmt w:val="decimal"/>
      <w:lvlText w:val="%1.%2.%3.%4.%5.%6."/>
      <w:lvlJc w:val="left"/>
      <w:pPr>
        <w:ind w:left="6080" w:hanging="1080"/>
      </w:pPr>
      <w:rPr>
        <w:vertAlign w:val="baseline"/>
      </w:rPr>
    </w:lvl>
    <w:lvl w:ilvl="6">
      <w:start w:val="1"/>
      <w:numFmt w:val="decimal"/>
      <w:lvlText w:val="%1.%2.%3.%4.%5.%6.%7."/>
      <w:lvlJc w:val="left"/>
      <w:pPr>
        <w:ind w:left="7440" w:hanging="1440"/>
      </w:pPr>
      <w:rPr>
        <w:vertAlign w:val="baseline"/>
      </w:rPr>
    </w:lvl>
    <w:lvl w:ilvl="7">
      <w:start w:val="1"/>
      <w:numFmt w:val="decimal"/>
      <w:lvlText w:val="%1.%2.%3.%4.%5.%6.%7.%8."/>
      <w:lvlJc w:val="left"/>
      <w:pPr>
        <w:ind w:left="8440" w:hanging="1440"/>
      </w:pPr>
      <w:rPr>
        <w:vertAlign w:val="baseline"/>
      </w:rPr>
    </w:lvl>
    <w:lvl w:ilvl="8">
      <w:start w:val="1"/>
      <w:numFmt w:val="decimal"/>
      <w:lvlText w:val="%1.%2.%3.%4.%5.%6.%7.%8.%9."/>
      <w:lvlJc w:val="left"/>
      <w:pPr>
        <w:ind w:left="9800" w:hanging="1800"/>
      </w:pPr>
      <w:rPr>
        <w:vertAlign w:val="baseline"/>
      </w:rPr>
    </w:lvl>
  </w:abstractNum>
  <w:abstractNum w:abstractNumId="17"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3E754248"/>
    <w:multiLevelType w:val="multilevel"/>
    <w:tmpl w:val="473651D2"/>
    <w:lvl w:ilvl="0">
      <w:start w:val="1"/>
      <w:numFmt w:val="decimal"/>
      <w:lvlText w:val="%1."/>
      <w:lvlJc w:val="left"/>
      <w:pPr>
        <w:ind w:left="360" w:hanging="360"/>
      </w:pPr>
      <w:rPr>
        <w:rFonts w:hint="default"/>
        <w:vertAlign w:val="baseline"/>
      </w:rPr>
    </w:lvl>
    <w:lvl w:ilvl="1">
      <w:start w:val="4"/>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19" w15:restartNumberingAfterBreak="0">
    <w:nsid w:val="3EE35DFE"/>
    <w:multiLevelType w:val="multilevel"/>
    <w:tmpl w:val="63F4DC54"/>
    <w:lvl w:ilvl="0">
      <w:start w:val="5"/>
      <w:numFmt w:val="decimal"/>
      <w:lvlText w:val="%1."/>
      <w:lvlJc w:val="left"/>
      <w:pPr>
        <w:ind w:left="36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20" w15:restartNumberingAfterBreak="0">
    <w:nsid w:val="42AA232A"/>
    <w:multiLevelType w:val="multilevel"/>
    <w:tmpl w:val="8BE8E2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4B2B7111"/>
    <w:multiLevelType w:val="multilevel"/>
    <w:tmpl w:val="B09CE976"/>
    <w:lvl w:ilvl="0">
      <w:start w:val="1"/>
      <w:numFmt w:val="bullet"/>
      <w:lvlText w:val="-"/>
      <w:lvlJc w:val="left"/>
      <w:pPr>
        <w:ind w:left="509" w:hanging="360"/>
      </w:pPr>
      <w:rPr>
        <w:rFonts w:ascii="Times New Roman" w:eastAsia="Times New Roman" w:hAnsi="Times New Roman" w:cs="Times New Roman"/>
      </w:rPr>
    </w:lvl>
    <w:lvl w:ilvl="1">
      <w:start w:val="1"/>
      <w:numFmt w:val="bullet"/>
      <w:lvlText w:val="o"/>
      <w:lvlJc w:val="left"/>
      <w:pPr>
        <w:ind w:left="1229" w:hanging="360"/>
      </w:pPr>
      <w:rPr>
        <w:rFonts w:ascii="Courier New" w:eastAsia="Courier New" w:hAnsi="Courier New" w:cs="Courier New"/>
      </w:rPr>
    </w:lvl>
    <w:lvl w:ilvl="2">
      <w:start w:val="1"/>
      <w:numFmt w:val="bullet"/>
      <w:lvlText w:val="▪"/>
      <w:lvlJc w:val="left"/>
      <w:pPr>
        <w:ind w:left="1949" w:hanging="360"/>
      </w:pPr>
      <w:rPr>
        <w:rFonts w:ascii="Noto Sans Symbols" w:eastAsia="Noto Sans Symbols" w:hAnsi="Noto Sans Symbols" w:cs="Noto Sans Symbols"/>
      </w:rPr>
    </w:lvl>
    <w:lvl w:ilvl="3">
      <w:start w:val="1"/>
      <w:numFmt w:val="bullet"/>
      <w:lvlText w:val="●"/>
      <w:lvlJc w:val="left"/>
      <w:pPr>
        <w:ind w:left="2669" w:hanging="360"/>
      </w:pPr>
      <w:rPr>
        <w:rFonts w:ascii="Noto Sans Symbols" w:eastAsia="Noto Sans Symbols" w:hAnsi="Noto Sans Symbols" w:cs="Noto Sans Symbols"/>
      </w:rPr>
    </w:lvl>
    <w:lvl w:ilvl="4">
      <w:start w:val="1"/>
      <w:numFmt w:val="bullet"/>
      <w:lvlText w:val="o"/>
      <w:lvlJc w:val="left"/>
      <w:pPr>
        <w:ind w:left="3389" w:hanging="360"/>
      </w:pPr>
      <w:rPr>
        <w:rFonts w:ascii="Courier New" w:eastAsia="Courier New" w:hAnsi="Courier New" w:cs="Courier New"/>
      </w:rPr>
    </w:lvl>
    <w:lvl w:ilvl="5">
      <w:start w:val="1"/>
      <w:numFmt w:val="bullet"/>
      <w:lvlText w:val="▪"/>
      <w:lvlJc w:val="left"/>
      <w:pPr>
        <w:ind w:left="4109" w:hanging="360"/>
      </w:pPr>
      <w:rPr>
        <w:rFonts w:ascii="Noto Sans Symbols" w:eastAsia="Noto Sans Symbols" w:hAnsi="Noto Sans Symbols" w:cs="Noto Sans Symbols"/>
      </w:rPr>
    </w:lvl>
    <w:lvl w:ilvl="6">
      <w:start w:val="1"/>
      <w:numFmt w:val="bullet"/>
      <w:lvlText w:val="●"/>
      <w:lvlJc w:val="left"/>
      <w:pPr>
        <w:ind w:left="4829" w:hanging="360"/>
      </w:pPr>
      <w:rPr>
        <w:rFonts w:ascii="Noto Sans Symbols" w:eastAsia="Noto Sans Symbols" w:hAnsi="Noto Sans Symbols" w:cs="Noto Sans Symbols"/>
      </w:rPr>
    </w:lvl>
    <w:lvl w:ilvl="7">
      <w:start w:val="1"/>
      <w:numFmt w:val="bullet"/>
      <w:lvlText w:val="o"/>
      <w:lvlJc w:val="left"/>
      <w:pPr>
        <w:ind w:left="5549" w:hanging="360"/>
      </w:pPr>
      <w:rPr>
        <w:rFonts w:ascii="Courier New" w:eastAsia="Courier New" w:hAnsi="Courier New" w:cs="Courier New"/>
      </w:rPr>
    </w:lvl>
    <w:lvl w:ilvl="8">
      <w:start w:val="1"/>
      <w:numFmt w:val="bullet"/>
      <w:lvlText w:val="▪"/>
      <w:lvlJc w:val="left"/>
      <w:pPr>
        <w:ind w:left="6269" w:hanging="360"/>
      </w:pPr>
      <w:rPr>
        <w:rFonts w:ascii="Noto Sans Symbols" w:eastAsia="Noto Sans Symbols" w:hAnsi="Noto Sans Symbols" w:cs="Noto Sans Symbols"/>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E23882"/>
    <w:multiLevelType w:val="hybridMultilevel"/>
    <w:tmpl w:val="E7E85BB6"/>
    <w:lvl w:ilvl="0" w:tplc="7952C43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15:restartNumberingAfterBreak="0">
    <w:nsid w:val="4E1B2705"/>
    <w:multiLevelType w:val="multilevel"/>
    <w:tmpl w:val="4C28303C"/>
    <w:lvl w:ilvl="0">
      <w:start w:val="1"/>
      <w:numFmt w:val="decimal"/>
      <w:lvlText w:val="%1."/>
      <w:lvlJc w:val="left"/>
      <w:pPr>
        <w:ind w:left="390" w:hanging="390"/>
      </w:pPr>
      <w:rPr>
        <w:b/>
        <w:color w:val="000000"/>
      </w:rPr>
    </w:lvl>
    <w:lvl w:ilvl="1">
      <w:start w:val="1"/>
      <w:numFmt w:val="decimal"/>
      <w:lvlText w:val="%1.%2."/>
      <w:lvlJc w:val="left"/>
      <w:pPr>
        <w:ind w:left="5115" w:hanging="720"/>
      </w:pPr>
      <w:rPr>
        <w:b w:val="0"/>
        <w:color w:val="000000"/>
      </w:rPr>
    </w:lvl>
    <w:lvl w:ilvl="2">
      <w:start w:val="1"/>
      <w:numFmt w:val="decimal"/>
      <w:lvlText w:val="%1.%2.%3."/>
      <w:lvlJc w:val="left"/>
      <w:pPr>
        <w:ind w:left="6480" w:hanging="720"/>
      </w:pPr>
      <w:rPr>
        <w:color w:val="000000"/>
      </w:rPr>
    </w:lvl>
    <w:lvl w:ilvl="3">
      <w:start w:val="1"/>
      <w:numFmt w:val="decimal"/>
      <w:lvlText w:val="%1.%2.%3.%4."/>
      <w:lvlJc w:val="left"/>
      <w:pPr>
        <w:ind w:left="9720" w:hanging="1080"/>
      </w:pPr>
      <w:rPr>
        <w:color w:val="000000"/>
      </w:rPr>
    </w:lvl>
    <w:lvl w:ilvl="4">
      <w:start w:val="1"/>
      <w:numFmt w:val="decimal"/>
      <w:lvlText w:val="%1.%2.%3.%4.%5."/>
      <w:lvlJc w:val="left"/>
      <w:pPr>
        <w:ind w:left="12600" w:hanging="1080"/>
      </w:pPr>
      <w:rPr>
        <w:color w:val="000000"/>
      </w:rPr>
    </w:lvl>
    <w:lvl w:ilvl="5">
      <w:start w:val="1"/>
      <w:numFmt w:val="decimal"/>
      <w:lvlText w:val="%1.%2.%3.%4.%5.%6."/>
      <w:lvlJc w:val="left"/>
      <w:pPr>
        <w:ind w:left="15840" w:hanging="1440"/>
      </w:pPr>
      <w:rPr>
        <w:color w:val="000000"/>
      </w:rPr>
    </w:lvl>
    <w:lvl w:ilvl="6">
      <w:start w:val="1"/>
      <w:numFmt w:val="decimal"/>
      <w:lvlText w:val="%1.%2.%3.%4.%5.%6.%7."/>
      <w:lvlJc w:val="left"/>
      <w:pPr>
        <w:ind w:left="18720" w:hanging="1440"/>
      </w:pPr>
      <w:rPr>
        <w:color w:val="000000"/>
      </w:rPr>
    </w:lvl>
    <w:lvl w:ilvl="7">
      <w:start w:val="1"/>
      <w:numFmt w:val="decimal"/>
      <w:lvlText w:val="%1.%2.%3.%4.%5.%6.%7.%8."/>
      <w:lvlJc w:val="left"/>
      <w:pPr>
        <w:ind w:left="21960" w:hanging="1800"/>
      </w:pPr>
      <w:rPr>
        <w:color w:val="000000"/>
      </w:rPr>
    </w:lvl>
    <w:lvl w:ilvl="8">
      <w:start w:val="1"/>
      <w:numFmt w:val="decimal"/>
      <w:lvlText w:val="%1.%2.%3.%4.%5.%6.%7.%8.%9."/>
      <w:lvlJc w:val="left"/>
      <w:pPr>
        <w:ind w:left="24840" w:hanging="1800"/>
      </w:pPr>
      <w:rPr>
        <w:color w:val="000000"/>
      </w:rPr>
    </w:lvl>
  </w:abstractNum>
  <w:abstractNum w:abstractNumId="26" w15:restartNumberingAfterBreak="0">
    <w:nsid w:val="514D4371"/>
    <w:multiLevelType w:val="multilevel"/>
    <w:tmpl w:val="29F26F4E"/>
    <w:lvl w:ilvl="0">
      <w:start w:val="6"/>
      <w:numFmt w:val="decimal"/>
      <w:lvlText w:val="%1"/>
      <w:lvlJc w:val="left"/>
      <w:pPr>
        <w:ind w:left="480" w:hanging="480"/>
      </w:pPr>
      <w:rPr>
        <w:vertAlign w:val="baseline"/>
      </w:rPr>
    </w:lvl>
    <w:lvl w:ilvl="1">
      <w:start w:val="4"/>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7" w15:restartNumberingAfterBreak="0">
    <w:nsid w:val="53A52433"/>
    <w:multiLevelType w:val="hybridMultilevel"/>
    <w:tmpl w:val="CF9E9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9" w15:restartNumberingAfterBreak="0">
    <w:nsid w:val="5B9D51EB"/>
    <w:multiLevelType w:val="multilevel"/>
    <w:tmpl w:val="C86C5784"/>
    <w:lvl w:ilvl="0">
      <w:start w:val="6"/>
      <w:numFmt w:val="decimal"/>
      <w:lvlText w:val="%1"/>
      <w:lvlJc w:val="left"/>
      <w:pPr>
        <w:ind w:left="480" w:hanging="480"/>
      </w:pPr>
      <w:rPr>
        <w:vertAlign w:val="baseline"/>
      </w:rPr>
    </w:lvl>
    <w:lvl w:ilvl="1">
      <w:start w:val="3"/>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30" w15:restartNumberingAfterBreak="0">
    <w:nsid w:val="5CAE589A"/>
    <w:multiLevelType w:val="multilevel"/>
    <w:tmpl w:val="CA92BE44"/>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311" w:hanging="360"/>
      </w:pPr>
      <w:rPr>
        <w:rFonts w:ascii="Courier New" w:eastAsia="Courier New" w:hAnsi="Courier New" w:cs="Courier New"/>
      </w:rPr>
    </w:lvl>
    <w:lvl w:ilvl="2">
      <w:start w:val="1"/>
      <w:numFmt w:val="bullet"/>
      <w:lvlText w:val="▪"/>
      <w:lvlJc w:val="left"/>
      <w:pPr>
        <w:ind w:left="1031" w:hanging="360"/>
      </w:pPr>
      <w:rPr>
        <w:rFonts w:ascii="Noto Sans Symbols" w:eastAsia="Noto Sans Symbols" w:hAnsi="Noto Sans Symbols" w:cs="Noto Sans Symbols"/>
      </w:rPr>
    </w:lvl>
    <w:lvl w:ilvl="3">
      <w:start w:val="1"/>
      <w:numFmt w:val="bullet"/>
      <w:lvlText w:val="●"/>
      <w:lvlJc w:val="left"/>
      <w:pPr>
        <w:ind w:left="1751" w:hanging="360"/>
      </w:pPr>
      <w:rPr>
        <w:rFonts w:ascii="Noto Sans Symbols" w:eastAsia="Noto Sans Symbols" w:hAnsi="Noto Sans Symbols" w:cs="Noto Sans Symbols"/>
      </w:rPr>
    </w:lvl>
    <w:lvl w:ilvl="4">
      <w:start w:val="1"/>
      <w:numFmt w:val="bullet"/>
      <w:lvlText w:val="o"/>
      <w:lvlJc w:val="left"/>
      <w:pPr>
        <w:ind w:left="2471" w:hanging="360"/>
      </w:pPr>
      <w:rPr>
        <w:rFonts w:ascii="Courier New" w:eastAsia="Courier New" w:hAnsi="Courier New" w:cs="Courier New"/>
      </w:rPr>
    </w:lvl>
    <w:lvl w:ilvl="5">
      <w:start w:val="1"/>
      <w:numFmt w:val="bullet"/>
      <w:lvlText w:val="▪"/>
      <w:lvlJc w:val="left"/>
      <w:pPr>
        <w:ind w:left="3191" w:hanging="360"/>
      </w:pPr>
      <w:rPr>
        <w:rFonts w:ascii="Noto Sans Symbols" w:eastAsia="Noto Sans Symbols" w:hAnsi="Noto Sans Symbols" w:cs="Noto Sans Symbols"/>
      </w:rPr>
    </w:lvl>
    <w:lvl w:ilvl="6">
      <w:start w:val="1"/>
      <w:numFmt w:val="bullet"/>
      <w:lvlText w:val="●"/>
      <w:lvlJc w:val="left"/>
      <w:pPr>
        <w:ind w:left="3911" w:hanging="360"/>
      </w:pPr>
      <w:rPr>
        <w:rFonts w:ascii="Noto Sans Symbols" w:eastAsia="Noto Sans Symbols" w:hAnsi="Noto Sans Symbols" w:cs="Noto Sans Symbols"/>
      </w:rPr>
    </w:lvl>
    <w:lvl w:ilvl="7">
      <w:start w:val="1"/>
      <w:numFmt w:val="bullet"/>
      <w:lvlText w:val="o"/>
      <w:lvlJc w:val="left"/>
      <w:pPr>
        <w:ind w:left="4631" w:hanging="360"/>
      </w:pPr>
      <w:rPr>
        <w:rFonts w:ascii="Courier New" w:eastAsia="Courier New" w:hAnsi="Courier New" w:cs="Courier New"/>
      </w:rPr>
    </w:lvl>
    <w:lvl w:ilvl="8">
      <w:start w:val="1"/>
      <w:numFmt w:val="bullet"/>
      <w:lvlText w:val="▪"/>
      <w:lvlJc w:val="left"/>
      <w:pPr>
        <w:ind w:left="5351" w:hanging="360"/>
      </w:pPr>
      <w:rPr>
        <w:rFonts w:ascii="Noto Sans Symbols" w:eastAsia="Noto Sans Symbols" w:hAnsi="Noto Sans Symbols" w:cs="Noto Sans Symbols"/>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6FE73F82"/>
    <w:multiLevelType w:val="hybridMultilevel"/>
    <w:tmpl w:val="10BC5996"/>
    <w:lvl w:ilvl="0" w:tplc="FFFFFFFF">
      <w:start w:val="1"/>
      <w:numFmt w:val="bullet"/>
      <w:pStyle w:val="a0"/>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799521EB"/>
    <w:multiLevelType w:val="hybridMultilevel"/>
    <w:tmpl w:val="E74E44A6"/>
    <w:lvl w:ilvl="0" w:tplc="AEE04B2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F5C45F2"/>
    <w:multiLevelType w:val="hybridMultilevel"/>
    <w:tmpl w:val="25AE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36"/>
  </w:num>
  <w:num w:numId="4">
    <w:abstractNumId w:val="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3"/>
  </w:num>
  <w:num w:numId="9">
    <w:abstractNumId w:val="8"/>
  </w:num>
  <w:num w:numId="10">
    <w:abstractNumId w:val="35"/>
  </w:num>
  <w:num w:numId="11">
    <w:abstractNumId w:val="11"/>
  </w:num>
  <w:num w:numId="12">
    <w:abstractNumId w:val="12"/>
  </w:num>
  <w:num w:numId="13">
    <w:abstractNumId w:val="3"/>
  </w:num>
  <w:num w:numId="14">
    <w:abstractNumId w:val="40"/>
  </w:num>
  <w:num w:numId="15">
    <w:abstractNumId w:val="33"/>
  </w:num>
  <w:num w:numId="16">
    <w:abstractNumId w:val="13"/>
  </w:num>
  <w:num w:numId="17">
    <w:abstractNumId w:val="17"/>
  </w:num>
  <w:num w:numId="18">
    <w:abstractNumId w:val="15"/>
  </w:num>
  <w:num w:numId="19">
    <w:abstractNumId w:val="21"/>
  </w:num>
  <w:num w:numId="20">
    <w:abstractNumId w:val="31"/>
  </w:num>
  <w:num w:numId="21">
    <w:abstractNumId w:val="29"/>
  </w:num>
  <w:num w:numId="22">
    <w:abstractNumId w:val="32"/>
  </w:num>
  <w:num w:numId="23">
    <w:abstractNumId w:val="26"/>
  </w:num>
  <w:num w:numId="24">
    <w:abstractNumId w:val="18"/>
  </w:num>
  <w:num w:numId="25">
    <w:abstractNumId w:val="7"/>
  </w:num>
  <w:num w:numId="26">
    <w:abstractNumId w:val="19"/>
  </w:num>
  <w:num w:numId="27">
    <w:abstractNumId w:val="16"/>
  </w:num>
  <w:num w:numId="28">
    <w:abstractNumId w:val="4"/>
  </w:num>
  <w:num w:numId="29">
    <w:abstractNumId w:val="2"/>
  </w:num>
  <w:num w:numId="30">
    <w:abstractNumId w:val="20"/>
  </w:num>
  <w:num w:numId="31">
    <w:abstractNumId w:val="39"/>
  </w:num>
  <w:num w:numId="32">
    <w:abstractNumId w:val="27"/>
  </w:num>
  <w:num w:numId="33">
    <w:abstractNumId w:val="10"/>
  </w:num>
  <w:num w:numId="34">
    <w:abstractNumId w:val="0"/>
  </w:num>
  <w:num w:numId="35">
    <w:abstractNumId w:val="37"/>
  </w:num>
  <w:num w:numId="36">
    <w:abstractNumId w:val="22"/>
  </w:num>
  <w:num w:numId="37">
    <w:abstractNumId w:val="25"/>
  </w:num>
  <w:num w:numId="38">
    <w:abstractNumId w:val="30"/>
  </w:num>
  <w:num w:numId="39">
    <w:abstractNumId w:val="5"/>
  </w:num>
  <w:num w:numId="40">
    <w:abstractNumId w:val="9"/>
  </w:num>
  <w:num w:numId="41">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F"/>
    <w:rsid w:val="00002321"/>
    <w:rsid w:val="00021269"/>
    <w:rsid w:val="000426DC"/>
    <w:rsid w:val="000630A5"/>
    <w:rsid w:val="000A5F41"/>
    <w:rsid w:val="000B0667"/>
    <w:rsid w:val="000B4D5B"/>
    <w:rsid w:val="000D1CAD"/>
    <w:rsid w:val="000E4C6D"/>
    <w:rsid w:val="001304FE"/>
    <w:rsid w:val="00165AA3"/>
    <w:rsid w:val="001734D9"/>
    <w:rsid w:val="00186174"/>
    <w:rsid w:val="00187CF1"/>
    <w:rsid w:val="001B18FD"/>
    <w:rsid w:val="001B3CE1"/>
    <w:rsid w:val="001B6B65"/>
    <w:rsid w:val="002120C6"/>
    <w:rsid w:val="00214AF4"/>
    <w:rsid w:val="0021683C"/>
    <w:rsid w:val="00217B29"/>
    <w:rsid w:val="00222D23"/>
    <w:rsid w:val="00227B87"/>
    <w:rsid w:val="00246D6C"/>
    <w:rsid w:val="002508BD"/>
    <w:rsid w:val="002659E0"/>
    <w:rsid w:val="002B2615"/>
    <w:rsid w:val="002B4B95"/>
    <w:rsid w:val="002D3269"/>
    <w:rsid w:val="002D36FD"/>
    <w:rsid w:val="002D4ED7"/>
    <w:rsid w:val="0033036D"/>
    <w:rsid w:val="00347168"/>
    <w:rsid w:val="003570B9"/>
    <w:rsid w:val="00381862"/>
    <w:rsid w:val="00394086"/>
    <w:rsid w:val="003A12F6"/>
    <w:rsid w:val="003B1A1E"/>
    <w:rsid w:val="003B1AF9"/>
    <w:rsid w:val="003D1C23"/>
    <w:rsid w:val="004212C7"/>
    <w:rsid w:val="00427251"/>
    <w:rsid w:val="00435EB4"/>
    <w:rsid w:val="004367F2"/>
    <w:rsid w:val="00442A7E"/>
    <w:rsid w:val="00463FBF"/>
    <w:rsid w:val="004671CE"/>
    <w:rsid w:val="0047728B"/>
    <w:rsid w:val="00494E30"/>
    <w:rsid w:val="00496329"/>
    <w:rsid w:val="004A1D6F"/>
    <w:rsid w:val="004A5D58"/>
    <w:rsid w:val="004B6654"/>
    <w:rsid w:val="004D35F5"/>
    <w:rsid w:val="004E424B"/>
    <w:rsid w:val="004F0835"/>
    <w:rsid w:val="005049C2"/>
    <w:rsid w:val="00512225"/>
    <w:rsid w:val="0052448E"/>
    <w:rsid w:val="005253FC"/>
    <w:rsid w:val="00545799"/>
    <w:rsid w:val="0055343F"/>
    <w:rsid w:val="00556421"/>
    <w:rsid w:val="00561DF1"/>
    <w:rsid w:val="005729C8"/>
    <w:rsid w:val="005A7CC6"/>
    <w:rsid w:val="005E4CD1"/>
    <w:rsid w:val="0061352E"/>
    <w:rsid w:val="006169EB"/>
    <w:rsid w:val="00634EF3"/>
    <w:rsid w:val="00640010"/>
    <w:rsid w:val="00656A8D"/>
    <w:rsid w:val="00661352"/>
    <w:rsid w:val="0066341C"/>
    <w:rsid w:val="00671F9B"/>
    <w:rsid w:val="00673C4E"/>
    <w:rsid w:val="006826AA"/>
    <w:rsid w:val="006A6FBD"/>
    <w:rsid w:val="006B1B40"/>
    <w:rsid w:val="006C4B8A"/>
    <w:rsid w:val="006D6C4D"/>
    <w:rsid w:val="006E0591"/>
    <w:rsid w:val="006E2DAD"/>
    <w:rsid w:val="006F6F1E"/>
    <w:rsid w:val="006F7457"/>
    <w:rsid w:val="00716A52"/>
    <w:rsid w:val="00737CC3"/>
    <w:rsid w:val="00764C9E"/>
    <w:rsid w:val="00786102"/>
    <w:rsid w:val="007950DD"/>
    <w:rsid w:val="007B3E08"/>
    <w:rsid w:val="007C763B"/>
    <w:rsid w:val="007D0504"/>
    <w:rsid w:val="007E5E90"/>
    <w:rsid w:val="007F6728"/>
    <w:rsid w:val="008075BE"/>
    <w:rsid w:val="00812B90"/>
    <w:rsid w:val="008503C2"/>
    <w:rsid w:val="008664C2"/>
    <w:rsid w:val="00867578"/>
    <w:rsid w:val="0089524D"/>
    <w:rsid w:val="008C6298"/>
    <w:rsid w:val="008E6E21"/>
    <w:rsid w:val="008F1932"/>
    <w:rsid w:val="008F774A"/>
    <w:rsid w:val="00915ECF"/>
    <w:rsid w:val="0091601F"/>
    <w:rsid w:val="00924ABC"/>
    <w:rsid w:val="00925FC3"/>
    <w:rsid w:val="009313A9"/>
    <w:rsid w:val="00982BD6"/>
    <w:rsid w:val="009A0055"/>
    <w:rsid w:val="009A659D"/>
    <w:rsid w:val="009C2482"/>
    <w:rsid w:val="009C2638"/>
    <w:rsid w:val="009C76D0"/>
    <w:rsid w:val="009E19B5"/>
    <w:rsid w:val="009F0036"/>
    <w:rsid w:val="009F1E43"/>
    <w:rsid w:val="00A01E53"/>
    <w:rsid w:val="00A15AB4"/>
    <w:rsid w:val="00A341CB"/>
    <w:rsid w:val="00A35016"/>
    <w:rsid w:val="00A35338"/>
    <w:rsid w:val="00A47514"/>
    <w:rsid w:val="00A75166"/>
    <w:rsid w:val="00A873C8"/>
    <w:rsid w:val="00AB54F4"/>
    <w:rsid w:val="00AC47D4"/>
    <w:rsid w:val="00AE11B8"/>
    <w:rsid w:val="00AE4D91"/>
    <w:rsid w:val="00B12705"/>
    <w:rsid w:val="00B30B60"/>
    <w:rsid w:val="00B33A35"/>
    <w:rsid w:val="00B33D8A"/>
    <w:rsid w:val="00B428C1"/>
    <w:rsid w:val="00B42CCA"/>
    <w:rsid w:val="00B46AFC"/>
    <w:rsid w:val="00B53529"/>
    <w:rsid w:val="00B64A51"/>
    <w:rsid w:val="00B71327"/>
    <w:rsid w:val="00BA3574"/>
    <w:rsid w:val="00BB0C5B"/>
    <w:rsid w:val="00BC27FD"/>
    <w:rsid w:val="00BC5ED9"/>
    <w:rsid w:val="00BC799A"/>
    <w:rsid w:val="00BC7C27"/>
    <w:rsid w:val="00C101BF"/>
    <w:rsid w:val="00C15624"/>
    <w:rsid w:val="00CA6926"/>
    <w:rsid w:val="00CB03E3"/>
    <w:rsid w:val="00D01062"/>
    <w:rsid w:val="00D11344"/>
    <w:rsid w:val="00D40CC1"/>
    <w:rsid w:val="00D6523A"/>
    <w:rsid w:val="00D90332"/>
    <w:rsid w:val="00DC1C3B"/>
    <w:rsid w:val="00DC2C24"/>
    <w:rsid w:val="00DE27B0"/>
    <w:rsid w:val="00DE3246"/>
    <w:rsid w:val="00DE6FB4"/>
    <w:rsid w:val="00E22AD3"/>
    <w:rsid w:val="00E57AC1"/>
    <w:rsid w:val="00E66A41"/>
    <w:rsid w:val="00E74B9C"/>
    <w:rsid w:val="00E75C03"/>
    <w:rsid w:val="00E83E8E"/>
    <w:rsid w:val="00E85C94"/>
    <w:rsid w:val="00EC0E37"/>
    <w:rsid w:val="00EC698B"/>
    <w:rsid w:val="00ED39C0"/>
    <w:rsid w:val="00ED5687"/>
    <w:rsid w:val="00EE40ED"/>
    <w:rsid w:val="00EF19C2"/>
    <w:rsid w:val="00F310C2"/>
    <w:rsid w:val="00F31D9D"/>
    <w:rsid w:val="00F36396"/>
    <w:rsid w:val="00F5340B"/>
    <w:rsid w:val="00F64161"/>
    <w:rsid w:val="00F64E56"/>
    <w:rsid w:val="00F755CB"/>
    <w:rsid w:val="00F83C07"/>
    <w:rsid w:val="00FD6052"/>
    <w:rsid w:val="00FE3AB5"/>
    <w:rsid w:val="00FF2F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A8775-0296-4566-A3BB-5ADC9341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343F"/>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CB0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2"/>
    <w:link w:val="30"/>
    <w:qFormat/>
    <w:rsid w:val="0052448E"/>
    <w:pPr>
      <w:spacing w:before="100" w:beforeAutospacing="1" w:after="100" w:afterAutospacing="1"/>
      <w:outlineLvl w:val="2"/>
    </w:pPr>
    <w:rPr>
      <w:rFonts w:eastAsia="Calibri"/>
      <w:b/>
      <w:bCs/>
      <w:sz w:val="27"/>
      <w:szCs w:val="27"/>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_тире"/>
    <w:basedOn w:val="a2"/>
    <w:uiPriority w:val="99"/>
    <w:qFormat/>
    <w:rsid w:val="0055343F"/>
    <w:pPr>
      <w:numPr>
        <w:numId w:val="1"/>
      </w:numPr>
      <w:spacing w:after="120"/>
      <w:jc w:val="both"/>
    </w:p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2"/>
    <w:link w:val="a7"/>
    <w:uiPriority w:val="99"/>
    <w:qFormat/>
    <w:rsid w:val="0055343F"/>
    <w:pPr>
      <w:ind w:left="708"/>
    </w:p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6"/>
    <w:uiPriority w:val="99"/>
    <w:qFormat/>
    <w:rsid w:val="0055343F"/>
    <w:rPr>
      <w:rFonts w:ascii="Times New Roman" w:eastAsia="Times New Roman" w:hAnsi="Times New Roman" w:cs="Times New Roman"/>
      <w:sz w:val="24"/>
      <w:szCs w:val="24"/>
      <w:lang w:eastAsia="ru-RU"/>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Знак18 Знак"/>
    <w:basedOn w:val="a2"/>
    <w:link w:val="a9"/>
    <w:unhideWhenUsed/>
    <w:qFormat/>
    <w:rsid w:val="0055343F"/>
    <w:pPr>
      <w:spacing w:before="100" w:beforeAutospacing="1" w:after="100" w:afterAutospacing="1"/>
    </w:pPr>
    <w:rPr>
      <w:lang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locked/>
    <w:rsid w:val="0055343F"/>
    <w:rPr>
      <w:rFonts w:ascii="Times New Roman" w:eastAsia="Times New Roman" w:hAnsi="Times New Roman" w:cs="Times New Roman"/>
      <w:sz w:val="24"/>
      <w:szCs w:val="24"/>
      <w:lang w:eastAsia="uk-UA"/>
    </w:rPr>
  </w:style>
  <w:style w:type="character" w:styleId="aa">
    <w:name w:val="Hyperlink"/>
    <w:uiPriority w:val="99"/>
    <w:unhideWhenUsed/>
    <w:rsid w:val="0055343F"/>
    <w:rPr>
      <w:color w:val="0000FF"/>
      <w:u w:val="single"/>
    </w:rPr>
  </w:style>
  <w:style w:type="paragraph" w:customStyle="1" w:styleId="-">
    <w:name w:val="Маркер-точка"/>
    <w:basedOn w:val="a2"/>
    <w:rsid w:val="0055343F"/>
    <w:pPr>
      <w:numPr>
        <w:numId w:val="3"/>
      </w:numPr>
      <w:spacing w:after="120"/>
      <w:contextualSpacing/>
      <w:jc w:val="both"/>
    </w:pPr>
    <w:rPr>
      <w:rFonts w:eastAsia="Calibri"/>
      <w:lang w:eastAsia="en-US"/>
    </w:rPr>
  </w:style>
  <w:style w:type="paragraph" w:customStyle="1" w:styleId="a">
    <w:name w:val="_номер+)"/>
    <w:basedOn w:val="a2"/>
    <w:uiPriority w:val="99"/>
    <w:qFormat/>
    <w:rsid w:val="004367F2"/>
    <w:pPr>
      <w:numPr>
        <w:numId w:val="4"/>
      </w:numPr>
      <w:spacing w:after="120"/>
      <w:jc w:val="both"/>
    </w:pPr>
  </w:style>
  <w:style w:type="paragraph" w:styleId="2">
    <w:name w:val="Body Text Indent 2"/>
    <w:basedOn w:val="a2"/>
    <w:link w:val="20"/>
    <w:rsid w:val="004367F2"/>
    <w:pPr>
      <w:spacing w:after="120" w:line="480" w:lineRule="auto"/>
      <w:ind w:left="283"/>
    </w:pPr>
    <w:rPr>
      <w:sz w:val="20"/>
      <w:szCs w:val="20"/>
    </w:rPr>
  </w:style>
  <w:style w:type="character" w:customStyle="1" w:styleId="20">
    <w:name w:val="Основной текст с отступом 2 Знак"/>
    <w:basedOn w:val="a3"/>
    <w:link w:val="2"/>
    <w:rsid w:val="004367F2"/>
    <w:rPr>
      <w:rFonts w:ascii="Times New Roman" w:eastAsia="Times New Roman" w:hAnsi="Times New Roman" w:cs="Times New Roman"/>
      <w:sz w:val="20"/>
      <w:szCs w:val="20"/>
      <w:lang w:eastAsia="ru-RU"/>
    </w:rPr>
  </w:style>
  <w:style w:type="paragraph" w:styleId="21">
    <w:name w:val="Body Text 2"/>
    <w:basedOn w:val="a2"/>
    <w:link w:val="22"/>
    <w:rsid w:val="004367F2"/>
    <w:pPr>
      <w:spacing w:after="120" w:line="480" w:lineRule="auto"/>
    </w:pPr>
    <w:rPr>
      <w:lang w:val="ru-RU"/>
    </w:rPr>
  </w:style>
  <w:style w:type="character" w:customStyle="1" w:styleId="22">
    <w:name w:val="Основной текст 2 Знак"/>
    <w:basedOn w:val="a3"/>
    <w:link w:val="21"/>
    <w:rsid w:val="004367F2"/>
    <w:rPr>
      <w:rFonts w:ascii="Times New Roman" w:eastAsia="Times New Roman" w:hAnsi="Times New Roman" w:cs="Times New Roman"/>
      <w:sz w:val="24"/>
      <w:szCs w:val="24"/>
      <w:lang w:val="ru-RU" w:eastAsia="ru-RU"/>
    </w:rPr>
  </w:style>
  <w:style w:type="paragraph" w:styleId="ab">
    <w:name w:val="Body Text Indent"/>
    <w:basedOn w:val="a2"/>
    <w:link w:val="ac"/>
    <w:uiPriority w:val="99"/>
    <w:unhideWhenUsed/>
    <w:rsid w:val="004367F2"/>
    <w:pPr>
      <w:spacing w:after="120" w:line="276" w:lineRule="auto"/>
      <w:ind w:left="283"/>
    </w:pPr>
    <w:rPr>
      <w:sz w:val="28"/>
      <w:szCs w:val="22"/>
      <w:lang w:eastAsia="en-US"/>
    </w:rPr>
  </w:style>
  <w:style w:type="character" w:customStyle="1" w:styleId="ac">
    <w:name w:val="Основной текст с отступом Знак"/>
    <w:basedOn w:val="a3"/>
    <w:link w:val="ab"/>
    <w:uiPriority w:val="99"/>
    <w:rsid w:val="004367F2"/>
    <w:rPr>
      <w:rFonts w:ascii="Times New Roman" w:eastAsia="Times New Roman" w:hAnsi="Times New Roman" w:cs="Times New Roman"/>
      <w:sz w:val="28"/>
    </w:rPr>
  </w:style>
  <w:style w:type="paragraph" w:styleId="ad">
    <w:name w:val="Balloon Text"/>
    <w:basedOn w:val="a2"/>
    <w:link w:val="ae"/>
    <w:uiPriority w:val="99"/>
    <w:semiHidden/>
    <w:unhideWhenUsed/>
    <w:rsid w:val="00EF19C2"/>
    <w:rPr>
      <w:rFonts w:ascii="Segoe UI" w:hAnsi="Segoe UI" w:cs="Segoe UI"/>
      <w:sz w:val="18"/>
      <w:szCs w:val="18"/>
    </w:rPr>
  </w:style>
  <w:style w:type="character" w:customStyle="1" w:styleId="ae">
    <w:name w:val="Текст выноски Знак"/>
    <w:basedOn w:val="a3"/>
    <w:link w:val="ad"/>
    <w:uiPriority w:val="99"/>
    <w:semiHidden/>
    <w:rsid w:val="00EF19C2"/>
    <w:rPr>
      <w:rFonts w:ascii="Segoe UI" w:eastAsia="Times New Roman" w:hAnsi="Segoe UI" w:cs="Segoe UI"/>
      <w:sz w:val="18"/>
      <w:szCs w:val="18"/>
      <w:lang w:eastAsia="ru-RU"/>
    </w:rPr>
  </w:style>
  <w:style w:type="character" w:customStyle="1" w:styleId="30">
    <w:name w:val="Заголовок 3 Знак"/>
    <w:basedOn w:val="a3"/>
    <w:link w:val="3"/>
    <w:rsid w:val="0052448E"/>
    <w:rPr>
      <w:rFonts w:ascii="Times New Roman" w:eastAsia="Calibri" w:hAnsi="Times New Roman" w:cs="Times New Roman"/>
      <w:b/>
      <w:bCs/>
      <w:sz w:val="27"/>
      <w:szCs w:val="27"/>
      <w:lang w:eastAsia="uk-UA"/>
    </w:rPr>
  </w:style>
  <w:style w:type="paragraph" w:customStyle="1" w:styleId="Standard">
    <w:name w:val="Standard"/>
    <w:rsid w:val="005244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3"/>
    <w:link w:val="1"/>
    <w:uiPriority w:val="9"/>
    <w:rsid w:val="00CB03E3"/>
    <w:rPr>
      <w:rFonts w:asciiTheme="majorHAnsi" w:eastAsiaTheme="majorEastAsia" w:hAnsiTheme="majorHAnsi" w:cstheme="majorBidi"/>
      <w:color w:val="2E74B5" w:themeColor="accent1" w:themeShade="BF"/>
      <w:sz w:val="32"/>
      <w:szCs w:val="32"/>
      <w:lang w:eastAsia="ru-RU"/>
    </w:rPr>
  </w:style>
  <w:style w:type="numbering" w:customStyle="1" w:styleId="WWNum3">
    <w:name w:val="WWNum3"/>
    <w:basedOn w:val="a5"/>
    <w:rsid w:val="00EC698B"/>
    <w:pPr>
      <w:numPr>
        <w:numId w:val="7"/>
      </w:numPr>
    </w:pPr>
  </w:style>
  <w:style w:type="paragraph" w:customStyle="1" w:styleId="a0">
    <w:name w:val="Ненумерованный список (по тексту)"/>
    <w:basedOn w:val="a2"/>
    <w:rsid w:val="00915ECF"/>
    <w:pPr>
      <w:numPr>
        <w:numId w:val="15"/>
      </w:numPr>
      <w:spacing w:after="120"/>
      <w:contextualSpacing/>
      <w:jc w:val="both"/>
    </w:pPr>
    <w:rPr>
      <w:sz w:val="28"/>
      <w:szCs w:val="28"/>
      <w:lang w:eastAsia="en-US"/>
    </w:rPr>
  </w:style>
  <w:style w:type="table" w:styleId="af">
    <w:name w:val="Table Grid"/>
    <w:basedOn w:val="a4"/>
    <w:uiPriority w:val="59"/>
    <w:rsid w:val="0017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3"/>
    <w:uiPriority w:val="99"/>
    <w:semiHidden/>
    <w:unhideWhenUsed/>
    <w:rsid w:val="00496329"/>
    <w:rPr>
      <w:sz w:val="16"/>
      <w:szCs w:val="16"/>
    </w:rPr>
  </w:style>
  <w:style w:type="paragraph" w:styleId="af1">
    <w:name w:val="annotation text"/>
    <w:basedOn w:val="a2"/>
    <w:link w:val="af2"/>
    <w:uiPriority w:val="99"/>
    <w:semiHidden/>
    <w:unhideWhenUsed/>
    <w:rsid w:val="00496329"/>
    <w:pPr>
      <w:ind w:firstLine="567"/>
      <w:jc w:val="both"/>
    </w:pPr>
    <w:rPr>
      <w:rFonts w:eastAsiaTheme="minorHAnsi" w:cstheme="minorBidi"/>
      <w:sz w:val="20"/>
      <w:szCs w:val="20"/>
      <w:lang w:eastAsia="en-US"/>
    </w:rPr>
  </w:style>
  <w:style w:type="character" w:customStyle="1" w:styleId="af2">
    <w:name w:val="Текст примечания Знак"/>
    <w:basedOn w:val="a3"/>
    <w:link w:val="af1"/>
    <w:uiPriority w:val="99"/>
    <w:semiHidden/>
    <w:rsid w:val="00496329"/>
    <w:rPr>
      <w:rFonts w:ascii="Times New Roman" w:hAnsi="Times New Roman"/>
      <w:sz w:val="20"/>
      <w:szCs w:val="20"/>
    </w:rPr>
  </w:style>
  <w:style w:type="paragraph" w:styleId="af3">
    <w:name w:val="annotation subject"/>
    <w:basedOn w:val="af1"/>
    <w:next w:val="af1"/>
    <w:link w:val="af4"/>
    <w:uiPriority w:val="99"/>
    <w:semiHidden/>
    <w:unhideWhenUsed/>
    <w:rsid w:val="00496329"/>
    <w:rPr>
      <w:b/>
      <w:bCs/>
    </w:rPr>
  </w:style>
  <w:style w:type="character" w:customStyle="1" w:styleId="af4">
    <w:name w:val="Тема примечания Знак"/>
    <w:basedOn w:val="af2"/>
    <w:link w:val="af3"/>
    <w:uiPriority w:val="99"/>
    <w:semiHidden/>
    <w:rsid w:val="00496329"/>
    <w:rPr>
      <w:rFonts w:ascii="Times New Roman" w:hAnsi="Times New Roman"/>
      <w:b/>
      <w:bCs/>
      <w:sz w:val="20"/>
      <w:szCs w:val="20"/>
    </w:rPr>
  </w:style>
  <w:style w:type="character" w:customStyle="1" w:styleId="af5">
    <w:name w:val="Основной текст_"/>
    <w:link w:val="8"/>
    <w:rsid w:val="00B64A51"/>
    <w:rPr>
      <w:rFonts w:ascii="Times New Roman" w:hAnsi="Times New Roman" w:cs="Times New Roman"/>
      <w:sz w:val="23"/>
      <w:szCs w:val="23"/>
      <w:shd w:val="clear" w:color="auto" w:fill="FFFFFF"/>
    </w:rPr>
  </w:style>
  <w:style w:type="paragraph" w:customStyle="1" w:styleId="8">
    <w:name w:val="Основной текст8"/>
    <w:basedOn w:val="a2"/>
    <w:link w:val="af5"/>
    <w:rsid w:val="00B64A51"/>
    <w:pPr>
      <w:widowControl w:val="0"/>
      <w:shd w:val="clear" w:color="auto" w:fill="FFFFFF"/>
      <w:spacing w:before="540" w:after="300" w:line="0" w:lineRule="atLeast"/>
      <w:ind w:hanging="360"/>
      <w:jc w:val="both"/>
    </w:pPr>
    <w:rPr>
      <w:rFonts w:eastAsiaTheme="minorHAns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10">
      <w:bodyDiv w:val="1"/>
      <w:marLeft w:val="0"/>
      <w:marRight w:val="0"/>
      <w:marTop w:val="0"/>
      <w:marBottom w:val="0"/>
      <w:divBdr>
        <w:top w:val="none" w:sz="0" w:space="0" w:color="auto"/>
        <w:left w:val="none" w:sz="0" w:space="0" w:color="auto"/>
        <w:bottom w:val="none" w:sz="0" w:space="0" w:color="auto"/>
        <w:right w:val="none" w:sz="0" w:space="0" w:color="auto"/>
      </w:divBdr>
    </w:div>
    <w:div w:id="638457760">
      <w:bodyDiv w:val="1"/>
      <w:marLeft w:val="0"/>
      <w:marRight w:val="0"/>
      <w:marTop w:val="0"/>
      <w:marBottom w:val="0"/>
      <w:divBdr>
        <w:top w:val="none" w:sz="0" w:space="0" w:color="auto"/>
        <w:left w:val="none" w:sz="0" w:space="0" w:color="auto"/>
        <w:bottom w:val="none" w:sz="0" w:space="0" w:color="auto"/>
        <w:right w:val="none" w:sz="0" w:space="0" w:color="auto"/>
      </w:divBdr>
    </w:div>
    <w:div w:id="1343580561">
      <w:bodyDiv w:val="1"/>
      <w:marLeft w:val="0"/>
      <w:marRight w:val="0"/>
      <w:marTop w:val="0"/>
      <w:marBottom w:val="0"/>
      <w:divBdr>
        <w:top w:val="none" w:sz="0" w:space="0" w:color="auto"/>
        <w:left w:val="none" w:sz="0" w:space="0" w:color="auto"/>
        <w:bottom w:val="none" w:sz="0" w:space="0" w:color="auto"/>
        <w:right w:val="none" w:sz="0" w:space="0" w:color="auto"/>
      </w:divBdr>
    </w:div>
    <w:div w:id="1380277315">
      <w:bodyDiv w:val="1"/>
      <w:marLeft w:val="0"/>
      <w:marRight w:val="0"/>
      <w:marTop w:val="0"/>
      <w:marBottom w:val="0"/>
      <w:divBdr>
        <w:top w:val="none" w:sz="0" w:space="0" w:color="auto"/>
        <w:left w:val="none" w:sz="0" w:space="0" w:color="auto"/>
        <w:bottom w:val="none" w:sz="0" w:space="0" w:color="auto"/>
        <w:right w:val="none" w:sz="0" w:space="0" w:color="auto"/>
      </w:divBdr>
    </w:div>
    <w:div w:id="1892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3108</Words>
  <Characters>1772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3</cp:revision>
  <cp:lastPrinted>2023-12-01T10:43:00Z</cp:lastPrinted>
  <dcterms:created xsi:type="dcterms:W3CDTF">2023-12-01T10:42:00Z</dcterms:created>
  <dcterms:modified xsi:type="dcterms:W3CDTF">2023-12-01T10:43:00Z</dcterms:modified>
</cp:coreProperties>
</file>