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9D" w:rsidRPr="004A7A35" w:rsidRDefault="009A659D" w:rsidP="009A659D">
      <w:pPr>
        <w:pageBreakBefore/>
        <w:pBdr>
          <w:top w:val="nil"/>
          <w:left w:val="nil"/>
          <w:bottom w:val="nil"/>
          <w:right w:val="nil"/>
          <w:between w:val="nil"/>
        </w:pBdr>
        <w:ind w:left="6804"/>
        <w:rPr>
          <w:color w:val="000000"/>
        </w:rPr>
      </w:pPr>
      <w:r w:rsidRPr="004A7A35">
        <w:rPr>
          <w:b/>
          <w:color w:val="000000"/>
        </w:rPr>
        <w:t xml:space="preserve">Додаток 2 </w:t>
      </w:r>
      <w:r w:rsidRPr="004A7A35">
        <w:rPr>
          <w:color w:val="000000"/>
        </w:rPr>
        <w:t>до тендерної документації</w:t>
      </w:r>
    </w:p>
    <w:p w:rsidR="009A659D" w:rsidRPr="004A7A35" w:rsidRDefault="009A659D" w:rsidP="009A659D">
      <w:pPr>
        <w:widowControl w:val="0"/>
        <w:pBdr>
          <w:top w:val="nil"/>
          <w:left w:val="nil"/>
          <w:bottom w:val="nil"/>
          <w:right w:val="nil"/>
          <w:between w:val="nil"/>
        </w:pBdr>
        <w:jc w:val="center"/>
        <w:rPr>
          <w:color w:val="000000"/>
        </w:rPr>
      </w:pPr>
      <w:r w:rsidRPr="004A7A35">
        <w:rPr>
          <w:b/>
          <w:color w:val="000000"/>
        </w:rPr>
        <w:t>ТЕНДЕРНА ПРОПОЗИЦІЯ</w:t>
      </w:r>
    </w:p>
    <w:p w:rsidR="009A659D" w:rsidRDefault="009A659D" w:rsidP="009A659D">
      <w:pPr>
        <w:widowControl w:val="0"/>
        <w:pBdr>
          <w:top w:val="nil"/>
          <w:left w:val="nil"/>
          <w:bottom w:val="nil"/>
          <w:right w:val="nil"/>
          <w:between w:val="nil"/>
        </w:pBdr>
        <w:jc w:val="center"/>
        <w:rPr>
          <w:i/>
          <w:color w:val="000000"/>
        </w:rPr>
      </w:pPr>
      <w:r w:rsidRPr="004A7A35">
        <w:rPr>
          <w:i/>
          <w:color w:val="000000"/>
        </w:rPr>
        <w:t>(форма, яка подається Учасником)</w:t>
      </w:r>
    </w:p>
    <w:p w:rsidR="00522187" w:rsidRDefault="00522187" w:rsidP="009A659D">
      <w:pPr>
        <w:widowControl w:val="0"/>
        <w:pBdr>
          <w:top w:val="nil"/>
          <w:left w:val="nil"/>
          <w:bottom w:val="nil"/>
          <w:right w:val="nil"/>
          <w:between w:val="nil"/>
        </w:pBdr>
        <w:jc w:val="center"/>
        <w:rPr>
          <w:i/>
          <w:color w:val="000000"/>
        </w:rPr>
      </w:pPr>
    </w:p>
    <w:p w:rsidR="00BD177E" w:rsidRPr="00BD177E" w:rsidRDefault="00BD177E" w:rsidP="005176ED">
      <w:pPr>
        <w:widowControl w:val="0"/>
        <w:autoSpaceDE w:val="0"/>
        <w:autoSpaceDN w:val="0"/>
        <w:adjustRightInd w:val="0"/>
        <w:ind w:firstLine="709"/>
        <w:jc w:val="both"/>
        <w:rPr>
          <w:bCs/>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Pr>
          <w:color w:val="000000"/>
        </w:rPr>
        <w:t>послуг за предметом</w:t>
      </w:r>
      <w:r>
        <w:rPr>
          <w:bCs/>
          <w:color w:val="000000"/>
        </w:rPr>
        <w:t xml:space="preserve">: </w:t>
      </w:r>
      <w:r w:rsidR="005176ED" w:rsidRPr="005176ED">
        <w:rPr>
          <w:b/>
          <w:bCs/>
          <w:color w:val="000000"/>
        </w:rPr>
        <w:t>«Послуги із сертифікації енергетичної ефективності будівель Державної митної служби України» за кодом ДК 021:2015 71310000-4 Консультаційні послуги у галузях інженерії та будівництва</w:t>
      </w:r>
      <w:r w:rsidR="005176ED" w:rsidRPr="005176ED">
        <w:rPr>
          <w:bCs/>
          <w:color w:val="000000"/>
        </w:rPr>
        <w:t xml:space="preserve"> (Послуги із сертифікації енергетичної ефективності будівель Державної митної служби України: ДК 021:2015 71314300-5 Консультаційні послу</w:t>
      </w:r>
      <w:r w:rsidR="005176ED">
        <w:rPr>
          <w:bCs/>
          <w:color w:val="000000"/>
        </w:rPr>
        <w:t>ги з питань енергоефективності)</w:t>
      </w:r>
      <w:r>
        <w:rPr>
          <w:bCs/>
          <w:color w:val="000000"/>
        </w:rPr>
        <w:t xml:space="preserve">, </w:t>
      </w:r>
      <w:r w:rsidRPr="00BD177E">
        <w:rPr>
          <w:color w:val="000000"/>
          <w:sz w:val="23"/>
          <w:szCs w:val="23"/>
        </w:rPr>
        <w:t>згідно з</w:t>
      </w:r>
      <w:r>
        <w:rPr>
          <w:color w:val="000000"/>
        </w:rPr>
        <w:t xml:space="preserve"> </w:t>
      </w:r>
      <w:r>
        <w:rPr>
          <w:color w:val="000000"/>
          <w:sz w:val="23"/>
          <w:szCs w:val="23"/>
        </w:rPr>
        <w:t>технічними та іншими вимогами Замовника торгів</w:t>
      </w:r>
      <w:r>
        <w:rPr>
          <w:color w:val="000000"/>
        </w:rPr>
        <w:t>.</w:t>
      </w:r>
    </w:p>
    <w:p w:rsidR="00BD177E" w:rsidRDefault="00BD177E" w:rsidP="00BD177E">
      <w:pPr>
        <w:widowControl w:val="0"/>
        <w:autoSpaceDE w:val="0"/>
        <w:autoSpaceDN w:val="0"/>
        <w:adjustRightInd w:val="0"/>
        <w:ind w:firstLine="709"/>
        <w:jc w:val="both"/>
        <w:rPr>
          <w:bCs/>
          <w:color w:val="000000"/>
        </w:rPr>
      </w:pPr>
      <w:r>
        <w:rPr>
          <w:bCs/>
          <w:color w:val="000000"/>
        </w:rPr>
        <w:t xml:space="preserve">Вивчивши </w:t>
      </w:r>
      <w:r>
        <w:rPr>
          <w:color w:val="000000"/>
        </w:rPr>
        <w:t>тендерну документацію, інформаці</w:t>
      </w:r>
      <w:r w:rsidRPr="00BD177E">
        <w:rPr>
          <w:color w:val="000000"/>
        </w:rPr>
        <w:t>ю про необхідні технічні, якісні та кількісні характеристики предмета закупівлі</w:t>
      </w:r>
      <w:r>
        <w:rPr>
          <w:color w:val="000000"/>
        </w:rPr>
        <w:t xml:space="preserve"> </w:t>
      </w:r>
      <w:r>
        <w:rPr>
          <w:bCs/>
          <w:color w:val="000000"/>
        </w:rPr>
        <w:t>та інші вимоги, на виконання зазначеного вище, ми, уповноважені на підписання договору, маємо можливість та погоджуємося надати послуги на суму:</w:t>
      </w:r>
    </w:p>
    <w:p w:rsidR="00BD177E" w:rsidRDefault="00BD177E" w:rsidP="00BD177E">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BD177E" w:rsidRDefault="00BD177E" w:rsidP="002708A3">
      <w:pPr>
        <w:widowControl w:val="0"/>
        <w:ind w:firstLine="708"/>
        <w:contextualSpacing/>
        <w:jc w:val="both"/>
        <w:rPr>
          <w:iCs/>
          <w:color w:val="000000"/>
          <w:spacing w:val="4"/>
          <w:sz w:val="26"/>
          <w:szCs w:val="26"/>
        </w:rPr>
      </w:pPr>
    </w:p>
    <w:tbl>
      <w:tblPr>
        <w:tblStyle w:val="af"/>
        <w:tblW w:w="10061" w:type="dxa"/>
        <w:tblLook w:val="04A0" w:firstRow="1" w:lastRow="0" w:firstColumn="1" w:lastColumn="0" w:noHBand="0" w:noVBand="1"/>
      </w:tblPr>
      <w:tblGrid>
        <w:gridCol w:w="846"/>
        <w:gridCol w:w="4961"/>
        <w:gridCol w:w="1418"/>
        <w:gridCol w:w="1418"/>
        <w:gridCol w:w="1418"/>
      </w:tblGrid>
      <w:tr w:rsidR="005176ED" w:rsidTr="005176ED">
        <w:tc>
          <w:tcPr>
            <w:tcW w:w="846" w:type="dxa"/>
          </w:tcPr>
          <w:p w:rsidR="005176ED" w:rsidRDefault="005176ED" w:rsidP="005176ED">
            <w:pPr>
              <w:jc w:val="center"/>
              <w:rPr>
                <w:rFonts w:eastAsia="Calibri"/>
                <w:b/>
              </w:rPr>
            </w:pPr>
            <w:r>
              <w:rPr>
                <w:rFonts w:eastAsia="Calibri"/>
                <w:b/>
              </w:rPr>
              <w:t>№ з/п</w:t>
            </w:r>
          </w:p>
        </w:tc>
        <w:tc>
          <w:tcPr>
            <w:tcW w:w="4961" w:type="dxa"/>
          </w:tcPr>
          <w:p w:rsidR="005176ED" w:rsidRDefault="005176ED" w:rsidP="005176ED">
            <w:pPr>
              <w:jc w:val="center"/>
              <w:rPr>
                <w:rFonts w:eastAsia="Calibri"/>
                <w:b/>
              </w:rPr>
            </w:pPr>
            <w:r>
              <w:rPr>
                <w:rFonts w:eastAsia="Calibri"/>
                <w:b/>
              </w:rPr>
              <w:t>Найменування послуг зі складання сертифікату енергетичної ефективності Об’єктів</w:t>
            </w:r>
          </w:p>
        </w:tc>
        <w:tc>
          <w:tcPr>
            <w:tcW w:w="1418" w:type="dxa"/>
          </w:tcPr>
          <w:p w:rsidR="005176ED" w:rsidRPr="005176ED" w:rsidRDefault="005176ED" w:rsidP="005176ED">
            <w:pPr>
              <w:keepNext/>
              <w:tabs>
                <w:tab w:val="left" w:pos="9639"/>
              </w:tabs>
              <w:suppressAutoHyphens/>
              <w:jc w:val="center"/>
              <w:rPr>
                <w:b/>
                <w:color w:val="000000"/>
                <w:szCs w:val="20"/>
                <w:lang w:eastAsia="ar-SA"/>
              </w:rPr>
            </w:pPr>
            <w:r w:rsidRPr="005176ED">
              <w:rPr>
                <w:b/>
                <w:bCs/>
                <w:iCs/>
                <w:color w:val="000000"/>
                <w:szCs w:val="20"/>
                <w:lang w:eastAsia="ar-SA"/>
              </w:rPr>
              <w:t>Ціна за одиницю</w:t>
            </w:r>
            <w:r w:rsidRPr="005176ED">
              <w:rPr>
                <w:b/>
                <w:bCs/>
                <w:iCs/>
                <w:color w:val="FF0000"/>
                <w:szCs w:val="20"/>
                <w:lang w:eastAsia="ar-SA"/>
              </w:rPr>
              <w:t>,</w:t>
            </w:r>
            <w:r w:rsidRPr="005176ED">
              <w:rPr>
                <w:b/>
                <w:bCs/>
                <w:iCs/>
                <w:color w:val="000000"/>
                <w:szCs w:val="20"/>
                <w:lang w:eastAsia="ar-SA"/>
              </w:rPr>
              <w:t xml:space="preserve"> грн. </w:t>
            </w:r>
            <w:r w:rsidRPr="005176ED">
              <w:rPr>
                <w:b/>
                <w:bCs/>
                <w:iCs/>
                <w:color w:val="000000"/>
                <w:szCs w:val="20"/>
                <w:lang w:eastAsia="ar-SA"/>
              </w:rPr>
              <w:br/>
              <w:t xml:space="preserve">(без ПДВ) </w:t>
            </w:r>
          </w:p>
        </w:tc>
        <w:tc>
          <w:tcPr>
            <w:tcW w:w="1418" w:type="dxa"/>
          </w:tcPr>
          <w:p w:rsidR="005176ED" w:rsidRPr="005176ED" w:rsidRDefault="005176ED" w:rsidP="005176ED">
            <w:pPr>
              <w:keepNext/>
              <w:tabs>
                <w:tab w:val="left" w:pos="9639"/>
              </w:tabs>
              <w:suppressAutoHyphens/>
              <w:jc w:val="center"/>
              <w:rPr>
                <w:b/>
                <w:bCs/>
                <w:iCs/>
                <w:color w:val="000000"/>
                <w:szCs w:val="20"/>
                <w:lang w:eastAsia="ar-SA"/>
              </w:rPr>
            </w:pPr>
            <w:r w:rsidRPr="005176ED">
              <w:rPr>
                <w:b/>
                <w:bCs/>
                <w:iCs/>
                <w:color w:val="000000"/>
                <w:szCs w:val="20"/>
                <w:lang w:eastAsia="ar-SA"/>
              </w:rPr>
              <w:t>ПДВ за одиницю, грн</w:t>
            </w:r>
          </w:p>
        </w:tc>
        <w:tc>
          <w:tcPr>
            <w:tcW w:w="1418" w:type="dxa"/>
          </w:tcPr>
          <w:p w:rsidR="005176ED" w:rsidRPr="005176ED" w:rsidRDefault="005176ED" w:rsidP="005176ED">
            <w:pPr>
              <w:keepNext/>
              <w:tabs>
                <w:tab w:val="left" w:pos="9639"/>
              </w:tabs>
              <w:suppressAutoHyphens/>
              <w:jc w:val="center"/>
              <w:rPr>
                <w:b/>
                <w:color w:val="000000"/>
                <w:szCs w:val="20"/>
                <w:lang w:eastAsia="ar-SA"/>
              </w:rPr>
            </w:pPr>
            <w:r w:rsidRPr="005176ED">
              <w:rPr>
                <w:b/>
                <w:bCs/>
                <w:iCs/>
                <w:color w:val="000000"/>
                <w:szCs w:val="20"/>
                <w:lang w:eastAsia="ar-SA"/>
              </w:rPr>
              <w:t xml:space="preserve">Сума, </w:t>
            </w:r>
            <w:r w:rsidRPr="005176ED">
              <w:rPr>
                <w:b/>
                <w:bCs/>
                <w:iCs/>
                <w:color w:val="000000"/>
                <w:szCs w:val="20"/>
                <w:lang w:eastAsia="ar-SA"/>
              </w:rPr>
              <w:br/>
              <w:t xml:space="preserve">грн. </w:t>
            </w:r>
            <w:r w:rsidRPr="005176ED">
              <w:rPr>
                <w:b/>
                <w:bCs/>
                <w:iCs/>
                <w:color w:val="000000"/>
                <w:szCs w:val="20"/>
                <w:lang w:eastAsia="ar-SA"/>
              </w:rPr>
              <w:br/>
              <w:t>(з ПДВ)</w:t>
            </w:r>
          </w:p>
        </w:tc>
      </w:tr>
      <w:tr w:rsidR="005176ED" w:rsidTr="005176ED">
        <w:tc>
          <w:tcPr>
            <w:tcW w:w="846" w:type="dxa"/>
          </w:tcPr>
          <w:p w:rsidR="005176ED" w:rsidRPr="004C7C44" w:rsidRDefault="005176ED" w:rsidP="005176ED">
            <w:pPr>
              <w:jc w:val="center"/>
              <w:rPr>
                <w:rFonts w:eastAsia="Calibri"/>
              </w:rPr>
            </w:pPr>
          </w:p>
        </w:tc>
        <w:tc>
          <w:tcPr>
            <w:tcW w:w="4961"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c>
          <w:tcPr>
            <w:tcW w:w="846" w:type="dxa"/>
          </w:tcPr>
          <w:p w:rsidR="005176ED" w:rsidRPr="004C7C44" w:rsidRDefault="005176ED" w:rsidP="005176ED">
            <w:pPr>
              <w:jc w:val="center"/>
              <w:rPr>
                <w:rFonts w:eastAsia="Calibri"/>
              </w:rPr>
            </w:pPr>
          </w:p>
        </w:tc>
        <w:tc>
          <w:tcPr>
            <w:tcW w:w="4961"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c>
          <w:tcPr>
            <w:tcW w:w="846" w:type="dxa"/>
          </w:tcPr>
          <w:p w:rsidR="005176ED" w:rsidRPr="004C7C44" w:rsidRDefault="005176ED" w:rsidP="005176ED">
            <w:pPr>
              <w:jc w:val="center"/>
              <w:rPr>
                <w:rFonts w:eastAsia="Calibri"/>
              </w:rPr>
            </w:pPr>
          </w:p>
        </w:tc>
        <w:tc>
          <w:tcPr>
            <w:tcW w:w="4961"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c>
          <w:tcPr>
            <w:tcW w:w="846" w:type="dxa"/>
          </w:tcPr>
          <w:p w:rsidR="005176ED" w:rsidRPr="004C7C44" w:rsidRDefault="005176ED" w:rsidP="005176ED">
            <w:pPr>
              <w:jc w:val="center"/>
              <w:rPr>
                <w:rFonts w:eastAsia="Calibri"/>
              </w:rPr>
            </w:pPr>
          </w:p>
        </w:tc>
        <w:tc>
          <w:tcPr>
            <w:tcW w:w="4961" w:type="dxa"/>
          </w:tcPr>
          <w:p w:rsidR="005176ED" w:rsidRDefault="005176ED" w:rsidP="005176ED">
            <w:pPr>
              <w:jc w:val="both"/>
              <w:rPr>
                <w:rFonts w:eastAsia="Calibri"/>
                <w:b/>
              </w:rPr>
            </w:pPr>
            <w:bookmarkStart w:id="0" w:name="_GoBack"/>
            <w:bookmarkEnd w:id="0"/>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c>
          <w:tcPr>
            <w:tcW w:w="846" w:type="dxa"/>
          </w:tcPr>
          <w:p w:rsidR="005176ED" w:rsidRDefault="005176ED" w:rsidP="005176ED">
            <w:pPr>
              <w:jc w:val="both"/>
              <w:rPr>
                <w:rFonts w:eastAsia="Calibri"/>
                <w:b/>
              </w:rPr>
            </w:pPr>
          </w:p>
        </w:tc>
        <w:tc>
          <w:tcPr>
            <w:tcW w:w="4961"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c>
          <w:tcPr>
            <w:tcW w:w="846" w:type="dxa"/>
          </w:tcPr>
          <w:p w:rsidR="005176ED" w:rsidRDefault="005176ED" w:rsidP="005176ED">
            <w:pPr>
              <w:jc w:val="both"/>
              <w:rPr>
                <w:rFonts w:eastAsia="Calibri"/>
                <w:b/>
              </w:rPr>
            </w:pPr>
          </w:p>
        </w:tc>
        <w:tc>
          <w:tcPr>
            <w:tcW w:w="4961"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rPr>
          <w:trHeight w:val="247"/>
        </w:trPr>
        <w:tc>
          <w:tcPr>
            <w:tcW w:w="5807" w:type="dxa"/>
            <w:gridSpan w:val="2"/>
          </w:tcPr>
          <w:p w:rsidR="005176ED" w:rsidRDefault="005176ED" w:rsidP="005176ED">
            <w:pPr>
              <w:jc w:val="both"/>
              <w:rPr>
                <w:rFonts w:eastAsia="Calibri"/>
                <w:b/>
              </w:rPr>
            </w:pPr>
            <w:r w:rsidRPr="00340A8B">
              <w:rPr>
                <w:b/>
                <w:color w:val="000000"/>
                <w:lang w:eastAsia="ar-SA"/>
              </w:rPr>
              <w:t>Всього:</w:t>
            </w: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r w:rsidR="005176ED" w:rsidTr="005176ED">
        <w:trPr>
          <w:trHeight w:val="282"/>
        </w:trPr>
        <w:tc>
          <w:tcPr>
            <w:tcW w:w="5807" w:type="dxa"/>
            <w:gridSpan w:val="2"/>
          </w:tcPr>
          <w:p w:rsidR="005176ED" w:rsidRDefault="005176ED" w:rsidP="005176ED">
            <w:pPr>
              <w:jc w:val="both"/>
              <w:rPr>
                <w:rFonts w:eastAsia="Calibri"/>
                <w:b/>
              </w:rPr>
            </w:pPr>
            <w:r w:rsidRPr="00340A8B">
              <w:rPr>
                <w:b/>
                <w:color w:val="000000"/>
                <w:lang w:eastAsia="ar-SA"/>
              </w:rPr>
              <w:t>у тому числі ПДВ:</w:t>
            </w: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c>
          <w:tcPr>
            <w:tcW w:w="1418" w:type="dxa"/>
          </w:tcPr>
          <w:p w:rsidR="005176ED" w:rsidRDefault="005176ED" w:rsidP="005176ED">
            <w:pPr>
              <w:jc w:val="both"/>
              <w:rPr>
                <w:rFonts w:eastAsia="Calibri"/>
                <w:b/>
              </w:rPr>
            </w:pPr>
          </w:p>
        </w:tc>
      </w:tr>
    </w:tbl>
    <w:p w:rsidR="005176ED" w:rsidRDefault="005176ED" w:rsidP="002708A3">
      <w:pPr>
        <w:widowControl w:val="0"/>
        <w:ind w:firstLine="708"/>
        <w:contextualSpacing/>
        <w:jc w:val="both"/>
        <w:rPr>
          <w:iCs/>
          <w:color w:val="000000"/>
          <w:spacing w:val="4"/>
          <w:sz w:val="26"/>
          <w:szCs w:val="26"/>
        </w:rPr>
      </w:pPr>
    </w:p>
    <w:p w:rsidR="00BD177E" w:rsidRDefault="00BD177E" w:rsidP="00BD177E">
      <w:pPr>
        <w:ind w:firstLine="567"/>
        <w:jc w:val="both"/>
        <w:rPr>
          <w:color w:val="000000"/>
        </w:rPr>
      </w:pPr>
      <w:r>
        <w:rPr>
          <w:color w:val="000000"/>
        </w:rPr>
        <w:t>1. До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BD177E" w:rsidRDefault="00BD177E" w:rsidP="00BD177E">
      <w:pPr>
        <w:ind w:firstLine="567"/>
        <w:jc w:val="both"/>
        <w:rPr>
          <w:color w:val="000000"/>
        </w:rPr>
      </w:pPr>
      <w:r>
        <w:rPr>
          <w:color w:val="000000"/>
        </w:rPr>
        <w:t>2. Ми погоджуємося дотримуватися умов цієї тендерної пропозиції протягом 90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її розгляду та оцінки, акцептована В</w:t>
      </w:r>
      <w:r w:rsidRPr="00BD177E">
        <w:rPr>
          <w:color w:val="000000"/>
        </w:rPr>
        <w:t xml:space="preserve">ами </w:t>
      </w:r>
      <w:r>
        <w:rPr>
          <w:color w:val="000000"/>
        </w:rPr>
        <w:t>у будь-який час до закінчення зазначеного терміну.</w:t>
      </w:r>
    </w:p>
    <w:p w:rsidR="00BD177E" w:rsidRDefault="00BD177E" w:rsidP="00BD177E">
      <w:pPr>
        <w:ind w:firstLine="567"/>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D177E" w:rsidRDefault="00BD177E" w:rsidP="00BD177E">
      <w:pPr>
        <w:ind w:firstLine="567"/>
        <w:jc w:val="both"/>
        <w:rPr>
          <w:color w:val="000000"/>
        </w:rPr>
      </w:pPr>
      <w:r>
        <w:rPr>
          <w:color w:val="000000"/>
        </w:rPr>
        <w:t>4. Ми розуміємо та погоджуємося, що Ви можете відмінити процедуру закупівлі з підстав, що передбачені Особливостями.</w:t>
      </w:r>
    </w:p>
    <w:p w:rsidR="00BD177E" w:rsidRDefault="00BD177E" w:rsidP="00BD177E">
      <w:pPr>
        <w:ind w:firstLine="567"/>
        <w:jc w:val="both"/>
        <w:rPr>
          <w:color w:val="000000"/>
        </w:rPr>
      </w:pPr>
      <w:r>
        <w:rPr>
          <w:color w:val="000000"/>
        </w:rPr>
        <w:t xml:space="preserve">5. Якщо наша тендерна пропозиція буде акцептована, ми беремо на себе зобов’язання </w:t>
      </w:r>
      <w:r w:rsidRPr="00BD177E">
        <w:rPr>
          <w:color w:val="000000"/>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 передбачені відповідною тендерною документацією та </w:t>
      </w:r>
      <w:r>
        <w:rPr>
          <w:color w:val="000000"/>
        </w:rPr>
        <w:t xml:space="preserve">підписати договір про закупівлю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w:t>
      </w:r>
      <w:r w:rsidRPr="00BD177E">
        <w:rPr>
          <w:color w:val="000000"/>
        </w:rPr>
        <w:t xml:space="preserve">через </w:t>
      </w:r>
      <w:r>
        <w:rPr>
          <w:color w:val="000000"/>
        </w:rPr>
        <w:t>5 днів з дати оприлюднення в електронній системі закупівель повідомлення про намір укласти договір про закупівлю.</w:t>
      </w:r>
    </w:p>
    <w:p w:rsidR="00BD177E" w:rsidRDefault="00BD177E" w:rsidP="00BD177E">
      <w:pPr>
        <w:ind w:firstLine="567"/>
        <w:jc w:val="both"/>
        <w:rPr>
          <w:color w:val="000000"/>
        </w:rPr>
      </w:pPr>
      <w:r>
        <w:rPr>
          <w:color w:val="000000"/>
        </w:rPr>
        <w:lastRenderedPageBreak/>
        <w:t xml:space="preserve">6. Ми погоджуємось, що закупівля </w:t>
      </w:r>
      <w:r w:rsidR="00556881">
        <w:rPr>
          <w:color w:val="000000"/>
          <w:lang w:val="ru-RU"/>
        </w:rPr>
        <w:t>п</w:t>
      </w:r>
      <w:r>
        <w:rPr>
          <w:color w:val="000000"/>
        </w:rPr>
        <w:t>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BD177E" w:rsidRDefault="00BD177E" w:rsidP="00BD177E">
      <w:pPr>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D177E" w:rsidRDefault="00BD177E" w:rsidP="00BD177E">
      <w:pPr>
        <w:jc w:val="both"/>
        <w:rPr>
          <w:color w:val="000000"/>
        </w:rPr>
      </w:pPr>
    </w:p>
    <w:p w:rsidR="00BD177E" w:rsidRDefault="00BD177E" w:rsidP="00BD177E">
      <w:pPr>
        <w:jc w:val="both"/>
        <w:rPr>
          <w:color w:val="000000"/>
        </w:rPr>
      </w:pPr>
      <w:r>
        <w:rPr>
          <w:color w:val="000000"/>
        </w:rPr>
        <w:t>_______________________________________________________________________________</w:t>
      </w:r>
    </w:p>
    <w:p w:rsidR="00BD177E" w:rsidRDefault="00BD177E" w:rsidP="00BD177E">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556881" w:rsidRDefault="00556881" w:rsidP="00BD177E">
      <w:pPr>
        <w:jc w:val="both"/>
        <w:rPr>
          <w:i/>
          <w:color w:val="000000"/>
        </w:rPr>
      </w:pPr>
    </w:p>
    <w:p w:rsidR="00BD177E" w:rsidRDefault="00BD177E" w:rsidP="00BD177E">
      <w:pPr>
        <w:jc w:val="both"/>
        <w:rPr>
          <w:i/>
          <w:color w:val="000000"/>
        </w:rPr>
      </w:pPr>
      <w:r>
        <w:rPr>
          <w:i/>
          <w:color w:val="000000"/>
        </w:rPr>
        <w:t>Примітка:</w:t>
      </w:r>
    </w:p>
    <w:p w:rsidR="00BD177E" w:rsidRDefault="00BD177E" w:rsidP="00BD177E">
      <w:pPr>
        <w:jc w:val="both"/>
        <w:rPr>
          <w:i/>
          <w:color w:val="000000"/>
        </w:rPr>
      </w:pPr>
      <w:r>
        <w:rPr>
          <w:i/>
          <w:color w:val="000000"/>
        </w:rPr>
        <w:t xml:space="preserve">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556881" w:rsidRDefault="00556881" w:rsidP="00556881">
      <w:pPr>
        <w:pBdr>
          <w:top w:val="nil"/>
          <w:left w:val="nil"/>
          <w:bottom w:val="nil"/>
          <w:right w:val="nil"/>
          <w:between w:val="nil"/>
        </w:pBdr>
        <w:jc w:val="both"/>
        <w:rPr>
          <w:i/>
        </w:rPr>
      </w:pPr>
      <w:r w:rsidRPr="004A7A35">
        <w:rPr>
          <w:i/>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BD177E" w:rsidRDefault="00BD177E" w:rsidP="00BD177E">
      <w:pPr>
        <w:jc w:val="both"/>
        <w:rPr>
          <w:i/>
          <w:color w:val="000000"/>
        </w:rPr>
      </w:pPr>
    </w:p>
    <w:p w:rsidR="00BD177E" w:rsidRDefault="00BD177E" w:rsidP="00BD177E">
      <w:pPr>
        <w:jc w:val="both"/>
        <w:rPr>
          <w:i/>
          <w:color w:val="000000"/>
        </w:rPr>
      </w:pPr>
    </w:p>
    <w:p w:rsidR="00BD177E" w:rsidRDefault="00BD177E" w:rsidP="00BD177E">
      <w:pPr>
        <w:jc w:val="both"/>
        <w:rPr>
          <w:color w:val="000000"/>
          <w:sz w:val="22"/>
          <w:szCs w:val="22"/>
        </w:rPr>
      </w:pPr>
      <w:r>
        <w:rPr>
          <w:color w:val="000000"/>
          <w:sz w:val="22"/>
          <w:szCs w:val="22"/>
        </w:rPr>
        <w:t>Учасники мають дотримуватися встановленої форми.</w:t>
      </w:r>
    </w:p>
    <w:p w:rsidR="00BD177E" w:rsidRDefault="00BD177E" w:rsidP="00BD177E">
      <w:pPr>
        <w:jc w:val="both"/>
        <w:rPr>
          <w:color w:val="000000"/>
          <w:sz w:val="22"/>
          <w:szCs w:val="22"/>
        </w:rPr>
      </w:pPr>
      <w:r>
        <w:rPr>
          <w:color w:val="000000"/>
          <w:sz w:val="22"/>
          <w:szCs w:val="22"/>
        </w:rPr>
        <w:t>Внесення у Форму тендерної пропозиції будь-яких змін неприпустиме.</w:t>
      </w:r>
    </w:p>
    <w:p w:rsidR="00BD177E" w:rsidRDefault="00BD177E" w:rsidP="00BD177E">
      <w:pPr>
        <w:spacing w:before="120" w:after="120"/>
        <w:ind w:firstLine="709"/>
        <w:jc w:val="both"/>
        <w:rPr>
          <w:color w:val="000000"/>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sectPr w:rsidR="00BD177E"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25" w:rsidRDefault="00506A25">
      <w:r>
        <w:separator/>
      </w:r>
    </w:p>
  </w:endnote>
  <w:endnote w:type="continuationSeparator" w:id="0">
    <w:p w:rsidR="00506A25" w:rsidRDefault="0050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25" w:rsidRDefault="00506A25">
      <w:r>
        <w:separator/>
      </w:r>
    </w:p>
  </w:footnote>
  <w:footnote w:type="continuationSeparator" w:id="0">
    <w:p w:rsidR="00506A25" w:rsidRDefault="00506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72E7E"/>
    <w:rsid w:val="000A5F41"/>
    <w:rsid w:val="000B0667"/>
    <w:rsid w:val="000B4D5B"/>
    <w:rsid w:val="000E4C6D"/>
    <w:rsid w:val="00104775"/>
    <w:rsid w:val="001304FE"/>
    <w:rsid w:val="00132FB8"/>
    <w:rsid w:val="00165AA3"/>
    <w:rsid w:val="001734D9"/>
    <w:rsid w:val="00186174"/>
    <w:rsid w:val="00187CF1"/>
    <w:rsid w:val="001B18FD"/>
    <w:rsid w:val="001B3CE1"/>
    <w:rsid w:val="001B6B65"/>
    <w:rsid w:val="002120C6"/>
    <w:rsid w:val="00214AF4"/>
    <w:rsid w:val="0021683C"/>
    <w:rsid w:val="00217B29"/>
    <w:rsid w:val="00222D23"/>
    <w:rsid w:val="00227B87"/>
    <w:rsid w:val="002508BD"/>
    <w:rsid w:val="002659E0"/>
    <w:rsid w:val="002708A3"/>
    <w:rsid w:val="002769C3"/>
    <w:rsid w:val="002B2615"/>
    <w:rsid w:val="002B4B95"/>
    <w:rsid w:val="002D3269"/>
    <w:rsid w:val="002D4ED7"/>
    <w:rsid w:val="0033036D"/>
    <w:rsid w:val="00347168"/>
    <w:rsid w:val="003570B9"/>
    <w:rsid w:val="00381862"/>
    <w:rsid w:val="00394086"/>
    <w:rsid w:val="003A12F6"/>
    <w:rsid w:val="003B1A1E"/>
    <w:rsid w:val="003B1AF9"/>
    <w:rsid w:val="003D1C23"/>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06A25"/>
    <w:rsid w:val="00512225"/>
    <w:rsid w:val="005176ED"/>
    <w:rsid w:val="00522187"/>
    <w:rsid w:val="0052448E"/>
    <w:rsid w:val="005253FC"/>
    <w:rsid w:val="00542E67"/>
    <w:rsid w:val="00545799"/>
    <w:rsid w:val="0055343F"/>
    <w:rsid w:val="005562E0"/>
    <w:rsid w:val="00556421"/>
    <w:rsid w:val="00556881"/>
    <w:rsid w:val="00561DF1"/>
    <w:rsid w:val="005729C8"/>
    <w:rsid w:val="005A7CC6"/>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5E90"/>
    <w:rsid w:val="007F6728"/>
    <w:rsid w:val="008075BE"/>
    <w:rsid w:val="00812B90"/>
    <w:rsid w:val="00817CC1"/>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BD177E"/>
    <w:rsid w:val="00C101BF"/>
    <w:rsid w:val="00C15624"/>
    <w:rsid w:val="00CA6926"/>
    <w:rsid w:val="00CB03E3"/>
    <w:rsid w:val="00D11344"/>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EF2054"/>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2843</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2023-12-01T10:58:00Z</cp:lastPrinted>
  <dcterms:created xsi:type="dcterms:W3CDTF">2023-12-01T10:25:00Z</dcterms:created>
  <dcterms:modified xsi:type="dcterms:W3CDTF">2023-12-01T10:58:00Z</dcterms:modified>
</cp:coreProperties>
</file>