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pStyle w:val="1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jc w:val="center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ОБҐРУНТУВАННЯ</w:t>
      </w:r>
    </w:p>
    <w:p>
      <w:pPr>
        <w:ind w:firstLine="567"/>
        <w:jc w:val="center"/>
        <w:rPr>
          <w:rStyle w:val="6"/>
          <w:b w:val="0"/>
          <w:color w:val="000000"/>
          <w:sz w:val="24"/>
          <w:szCs w:val="24"/>
        </w:rPr>
      </w:pPr>
      <w:r>
        <w:rPr>
          <w:rStyle w:val="6"/>
          <w:color w:val="000000"/>
          <w:sz w:val="24"/>
          <w:szCs w:val="24"/>
        </w:rPr>
        <w:t xml:space="preserve">закупівлі </w:t>
      </w:r>
      <w:r>
        <w:rPr>
          <w:b/>
          <w:bCs/>
          <w:color w:val="000000"/>
          <w:sz w:val="24"/>
          <w:szCs w:val="24"/>
          <w:shd w:val="clear" w:color="auto" w:fill="FFFFFF"/>
        </w:rPr>
        <w:t>теплової енергії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6"/>
          <w:color w:val="000000"/>
          <w:sz w:val="24"/>
          <w:szCs w:val="24"/>
        </w:rPr>
        <w:t>із застосуванням виключення 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(далі — Особливості)</w:t>
      </w:r>
    </w:p>
    <w:p>
      <w:pPr>
        <w:pStyle w:val="9"/>
        <w:widowControl/>
        <w:tabs>
          <w:tab w:val="left" w:leader="dot" w:pos="0"/>
        </w:tabs>
        <w:spacing w:line="276" w:lineRule="auto"/>
        <w:jc w:val="both"/>
        <w:rPr>
          <w:lang w:val="uk-UA"/>
        </w:rPr>
      </w:pPr>
    </w:p>
    <w:p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>
      <w:pPr>
        <w:jc w:val="both"/>
        <w:rPr>
          <w:sz w:val="24"/>
          <w:szCs w:val="24"/>
        </w:rPr>
      </w:pP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Законом України «Про природні монополії» регулюється діяльність суб'єктів природних монополій, зокрема, у сферах централізованого водопостачання та водовідведення; транспортування теплової енергії. Відповідно до частини 1 статті 5 Закону України «Про природні монополії» від 20.04.2000 № 1682-III регулюється діяльність суб’єктів природних монополій у таких сферах: транспортування теплової енергії. Відповідно до частини 2 статті 5 Закону України «Про природні монополії» від 20.04.2000 № 1682-III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 - 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Згідно даних з Реєстру суб’єктів природних монополій, які провадять господарську діяльність у сфері енергетики станом на грудень 2023 року  (https://amcu.gov.ua/napryami/konkurenciya/arhiv-zvedenogo-pereliku-prirodnih-monopolij/zvedenij-perelik-prirodnih-monopolij-2023) КП «Житомиртеплокомуненерго» Житомирської міської ради є суб’єктом природних монополій на території Житомирської області у сфері</w:t>
      </w:r>
      <w:r>
        <w:t xml:space="preserve"> </w:t>
      </w:r>
      <w:r>
        <w:rPr>
          <w:sz w:val="24"/>
          <w:szCs w:val="24"/>
        </w:rPr>
        <w:t>транспортування теплової енергії магістральними та місцевими (розподільчими) тепловими мережами.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Теплові мережі Замовника відносяться до загальних теплових мереж Комунального підприємства «Житомиртеплокомуненерго» Житомирської міської ради. Отже, через відсутність конкуренції з технічних причин дані послуги можуть бути надані лише певним постачальником, а саме: Комунальним підприємством «Житомиртеплокомуненерго» Житомирської міської ради. 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Інформацією, що міститься у Ліцензійному реєстрі Національної комісії, що здійснює державне регулювання у сферах енергетики та комунальних послуг, на вебсайті Національної комісії (НКРЕКП) (htt://www.nerc.gov.ua), визначено, що КП «Житомиртеплокомуненерго» має ліцензію на транспортування теплової енергії магістральними та місцевими (розподільчими) тепловими мережами, виробництво теплової енергії та постачання теплової енергії. Документи, що підтверджують наявність умов застосування переговорної процедури закупівлі - Ліцензія № 385 від 21.12.2012 року (переоформлено рішенням від 15.03.2016 №319); інформація щодо переліку суб’єктів природних монополій містться на офіційному вебсайті Антимонопольного комітету України http://www.amc.gov.ua.</w:t>
      </w:r>
    </w:p>
    <w:p>
      <w:pPr>
        <w:jc w:val="both"/>
        <w:rPr>
          <w:sz w:val="24"/>
          <w:szCs w:val="24"/>
        </w:rPr>
      </w:pPr>
    </w:p>
    <w:p>
      <w:pPr>
        <w:pStyle w:val="1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Відповідно до 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1178,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ридбання замовниками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товарів і послуг (крім послуг з поточного ремонту), вартість яких становить або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шляхом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укладення договору про закупівлю без застосування відкритих торгів та/або електронного каталогу для закупівлі товару у разі, коли,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роботи, товари чи послуги можуть бути виконані, поставлені чи надані виключно певним суб’єктом господарювання в одному з таких випадків, зокрема відсутність конкуренції з технічних причин, яка повинна бути документально підтверджена замовником.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вищевикладене, на </w:t>
      </w:r>
      <w:bookmarkStart w:id="0" w:name="_Hlk149739991"/>
      <w:r>
        <w:rPr>
          <w:rFonts w:ascii="Times New Roman" w:hAnsi="Times New Roman" w:cs="Times New Roman"/>
          <w:sz w:val="24"/>
          <w:szCs w:val="24"/>
          <w:lang w:val="uk-UA"/>
        </w:rPr>
        <w:t>підставі Зведеного переліку суб'єктів природних монополій (</w:t>
      </w:r>
      <w:r>
        <w:fldChar w:fldCharType="begin"/>
      </w:r>
      <w:r>
        <w:instrText xml:space="preserve"> HYPERLINK "https://amcu.gov.ua/napryami/konkurenciya/arhiv-zvedenogo-pereliku-prirodnih-monopolij/zvedenij-perelik-prirodnih-monopolij-2023"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uk-UA"/>
        </w:rPr>
        <w:t>https://amcu.gov.ua/napryami/konkurenciya/arhiv-zvedenogo-pereliku-prirodnih-monopolij/zvedenij-perelik-prirodnih-monopolij-2023</w:t>
      </w:r>
      <w:r>
        <w:rPr>
          <w:rStyle w:val="4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Ліцензії № 385 від 21.12.2012 року (переоформлено рішенням від 15.03.2016 №319), відповідно до підпункту 5 пункту 13 постанови КМУ №1178 від 12.10.2022р (роботи, товари чи послуги можуть бути виконані, поставлені чи надані виключно певним суб’єктом господарювання в одному з таких випадків, зокрема відсутність конкуренції з технічних причин, яка повинна бути документально підтверджена замовником), закупівлю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теплової  енергії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здійснити шляхом укладення договору про закупівлю без застосування відкритих торгів.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подальшого користування тепловою енергією для для потреб опалення укласти договір на постачання теплової енергії з Комунальне підприємство «Житомиртеплокомуненерго» Житомирської міської ради (код ЄДРПОУ 35343771).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закупівлі теплової енергії, здійсненої відповідно до пункту 13 Особливостей, оприлюднити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X “Прикінцеві та перехідні положення” Закону України «Про публічні закупівлі».</w:t>
      </w:r>
    </w:p>
    <w:p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Додатки: Ліцензія КП «ЖИТОМИРТЕПЛОКОМУНЕНЕРГО» ЖМР</w:t>
      </w: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  <w:bookmarkStart w:id="1" w:name="_GoBack"/>
      <w:bookmarkEnd w:id="1"/>
    </w:p>
    <w:p>
      <w:pPr>
        <w:spacing w:before="0" w:after="0" w:line="276" w:lineRule="auto"/>
        <w:ind w:left="0" w:right="0" w:firstLine="70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sz w:val="28"/>
          <w:szCs w:val="28"/>
        </w:rPr>
        <w:t xml:space="preserve">Уповноважена особа                          </w:t>
      </w:r>
      <w:r>
        <w:object>
          <v:shape id="_x0000_i1025" o:spt="75" type="#_x0000_t75" style="height:50.6pt;width:59.7pt;" o:ole="t" filled="f" o:preferrelative="t" coordsize="21600,21600">
            <v:path/>
            <v:fill on="f" focussize="0,0"/>
            <v:stroke/>
            <v:imagedata r:id="rId7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               Геннадій ВЕНГЕР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48"/>
    <w:rsid w:val="00022AFF"/>
    <w:rsid w:val="00057230"/>
    <w:rsid w:val="000C5279"/>
    <w:rsid w:val="000E03A8"/>
    <w:rsid w:val="000F290C"/>
    <w:rsid w:val="001763EA"/>
    <w:rsid w:val="0020357B"/>
    <w:rsid w:val="00245808"/>
    <w:rsid w:val="002636F7"/>
    <w:rsid w:val="002C6CE7"/>
    <w:rsid w:val="003822DD"/>
    <w:rsid w:val="00383B25"/>
    <w:rsid w:val="00410D4B"/>
    <w:rsid w:val="00441840"/>
    <w:rsid w:val="004D1058"/>
    <w:rsid w:val="00526A18"/>
    <w:rsid w:val="00594B1D"/>
    <w:rsid w:val="005A69A9"/>
    <w:rsid w:val="005B7B3A"/>
    <w:rsid w:val="006333C9"/>
    <w:rsid w:val="006559E2"/>
    <w:rsid w:val="006946FA"/>
    <w:rsid w:val="00783DAE"/>
    <w:rsid w:val="007D0559"/>
    <w:rsid w:val="007D15AD"/>
    <w:rsid w:val="00843E18"/>
    <w:rsid w:val="00973908"/>
    <w:rsid w:val="00983FD3"/>
    <w:rsid w:val="009A26CD"/>
    <w:rsid w:val="009B6E25"/>
    <w:rsid w:val="00A41295"/>
    <w:rsid w:val="00A43160"/>
    <w:rsid w:val="00AF22A3"/>
    <w:rsid w:val="00B42591"/>
    <w:rsid w:val="00B813D4"/>
    <w:rsid w:val="00BB3C48"/>
    <w:rsid w:val="00BB5664"/>
    <w:rsid w:val="00BD3971"/>
    <w:rsid w:val="00C80F56"/>
    <w:rsid w:val="00CE1C90"/>
    <w:rsid w:val="00D02E66"/>
    <w:rsid w:val="00D121CE"/>
    <w:rsid w:val="00D13DA5"/>
    <w:rsid w:val="00D26F0E"/>
    <w:rsid w:val="00D717FA"/>
    <w:rsid w:val="00D80372"/>
    <w:rsid w:val="00D83848"/>
    <w:rsid w:val="00D86691"/>
    <w:rsid w:val="00DD071A"/>
    <w:rsid w:val="00DF1A3C"/>
    <w:rsid w:val="00E14EF8"/>
    <w:rsid w:val="00E40D21"/>
    <w:rsid w:val="00E87E3A"/>
    <w:rsid w:val="00E9749E"/>
    <w:rsid w:val="00ED13C7"/>
    <w:rsid w:val="00F8587E"/>
    <w:rsid w:val="502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6">
    <w:name w:val="Strong"/>
    <w:qFormat/>
    <w:uiPriority w:val="22"/>
    <w:rPr>
      <w:b/>
      <w:bCs/>
    </w:rPr>
  </w:style>
  <w:style w:type="paragraph" w:customStyle="1" w:styleId="7">
    <w:name w:val="docdata"/>
    <w:basedOn w:val="1"/>
    <w:uiPriority w:val="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Style6"/>
    <w:basedOn w:val="1"/>
    <w:qFormat/>
    <w:uiPriority w:val="0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297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663</Words>
  <Characters>5048</Characters>
  <Lines>90</Lines>
  <Paragraphs>19</Paragraphs>
  <TotalTime>0</TotalTime>
  <ScaleCrop>false</ScaleCrop>
  <LinksUpToDate>false</LinksUpToDate>
  <CharactersWithSpaces>5692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2023-05-02T08:22:00Z</dcterms:created>
  <dc:creator>Пользователь Windows</dc:creator>
  <cp:lastModifiedBy>Roma</cp:lastModifiedBy>
  <dcterms:modified xsi:type="dcterms:W3CDTF">2024-01-30T17:21:53Z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cb44aebf7d59bc1776a76c89a15a1080066e8d494481e1b87293b9ac2b21ca56</vt:lpwstr>
  </property>
  <property fmtid="{D5CDD505-2E9C-101B-9397-08002B2CF9AE}" pid="3" name="KSOProductBuildVer">
    <vt:lpwstr>1033-11.2.0.11225</vt:lpwstr>
  </property>
  <property fmtid="{D5CDD505-2E9C-101B-9397-08002B2CF9AE}" pid="4" name="ICV">
    <vt:lpwstr>3B14752595674FFEA3EE3221D0D434EB</vt:lpwstr>
  </property>
</Properties>
</file>