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AF" w:rsidRPr="00975042" w:rsidRDefault="00975042" w:rsidP="00E048AF">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ПЕРЕЛІК ЗМІН</w:t>
      </w:r>
    </w:p>
    <w:tbl>
      <w:tblPr>
        <w:tblStyle w:val="a7"/>
        <w:tblW w:w="0" w:type="auto"/>
        <w:tblLook w:val="04A0" w:firstRow="1" w:lastRow="0" w:firstColumn="1" w:lastColumn="0" w:noHBand="0" w:noVBand="1"/>
      </w:tblPr>
      <w:tblGrid>
        <w:gridCol w:w="4926"/>
        <w:gridCol w:w="4927"/>
      </w:tblGrid>
      <w:tr w:rsidR="00975042" w:rsidTr="00975042">
        <w:tc>
          <w:tcPr>
            <w:tcW w:w="4926" w:type="dxa"/>
          </w:tcPr>
          <w:p w:rsidR="00975042" w:rsidRDefault="00975042" w:rsidP="00E048AF">
            <w:pPr>
              <w:jc w:val="center"/>
              <w:rPr>
                <w:rFonts w:ascii="Times New Roman" w:eastAsia="Times New Roman" w:hAnsi="Times New Roman"/>
                <w:b/>
                <w:sz w:val="24"/>
                <w:szCs w:val="24"/>
              </w:rPr>
            </w:pPr>
            <w:r>
              <w:rPr>
                <w:rFonts w:ascii="Times New Roman" w:eastAsia="Times New Roman" w:hAnsi="Times New Roman"/>
                <w:b/>
                <w:sz w:val="24"/>
                <w:szCs w:val="24"/>
              </w:rPr>
              <w:t>Було</w:t>
            </w:r>
          </w:p>
        </w:tc>
        <w:tc>
          <w:tcPr>
            <w:tcW w:w="4927" w:type="dxa"/>
          </w:tcPr>
          <w:p w:rsidR="00975042" w:rsidRDefault="00975042" w:rsidP="00E048AF">
            <w:pPr>
              <w:jc w:val="center"/>
              <w:rPr>
                <w:rFonts w:ascii="Times New Roman" w:eastAsia="Times New Roman" w:hAnsi="Times New Roman"/>
                <w:b/>
                <w:sz w:val="24"/>
                <w:szCs w:val="24"/>
              </w:rPr>
            </w:pPr>
            <w:r>
              <w:rPr>
                <w:rFonts w:ascii="Times New Roman" w:eastAsia="Times New Roman" w:hAnsi="Times New Roman"/>
                <w:b/>
                <w:sz w:val="24"/>
                <w:szCs w:val="24"/>
              </w:rPr>
              <w:t>Стало</w:t>
            </w:r>
          </w:p>
        </w:tc>
      </w:tr>
      <w:tr w:rsidR="00975042" w:rsidTr="00975042">
        <w:tc>
          <w:tcPr>
            <w:tcW w:w="4926" w:type="dxa"/>
          </w:tcPr>
          <w:p w:rsidR="00975042" w:rsidRPr="001C4A2D" w:rsidRDefault="00975042"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П. 5 розділу 3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Відповідно до вимог статті 16 Закону та цієї документації учасник подає в складі пропозиції документи, що підтверджують відповідність учасника наступним кваліфікаційним критеріям:</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довідку в довільній формі про виконання аналогічного договору в повному обсязі, в якій повинно бути зазначене найменування, місцезнаходження, код ЄДРПОУ замовника, для якого виконувався аналогічний договір, телефон контактної особи замовника, вартість виконаного аналогічного договору (грн.) (на підтвердження відповідності встановленому критерію учасник надає копії договорів з копіями актів приймання-передавання наданих послуг, які підтверджують виконання аналогічного договору щодо надання послуг за останні 2 роки;</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довідки, складеної в довільній формі, про наявність у Учасника процедури закупівлі відповідної кількості працівників для здійснення надання послуг, що є предметом закупівлі;</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B71C8" w:rsidRPr="001C4A2D" w:rsidRDefault="000B71C8" w:rsidP="001C4A2D">
            <w:pPr>
              <w:jc w:val="both"/>
              <w:rPr>
                <w:rFonts w:ascii="Times New Roman" w:eastAsia="Times New Roman" w:hAnsi="Times New Roman"/>
                <w:sz w:val="24"/>
                <w:szCs w:val="24"/>
              </w:rPr>
            </w:pP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B71C8" w:rsidRPr="001C4A2D" w:rsidRDefault="000B71C8" w:rsidP="001C4A2D">
            <w:pPr>
              <w:jc w:val="both"/>
              <w:rPr>
                <w:rFonts w:ascii="Times New Roman" w:eastAsia="Times New Roman" w:hAnsi="Times New Roman"/>
                <w:sz w:val="24"/>
                <w:szCs w:val="24"/>
              </w:rPr>
            </w:pP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У разі коли учасник процедури закупівлі має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намір залучити інших суб’єктів господарювання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як субпідрядників/співвиконавців в обсязі не менш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як 20 відсотків вартості договору про закупівлю у разі закупівлі робіт або послуг </w:t>
            </w:r>
            <w:r w:rsidRPr="001C4A2D">
              <w:rPr>
                <w:rFonts w:ascii="Times New Roman" w:eastAsia="Times New Roman" w:hAnsi="Times New Roman"/>
                <w:sz w:val="24"/>
                <w:szCs w:val="24"/>
              </w:rPr>
              <w:lastRenderedPageBreak/>
              <w:t xml:space="preserve">для підтвердження його відповідності кваліфікаційним критеріям відповідно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0B71C8" w:rsidRPr="001C4A2D" w:rsidRDefault="000B71C8" w:rsidP="001C4A2D">
            <w:pPr>
              <w:jc w:val="both"/>
              <w:rPr>
                <w:rFonts w:ascii="Times New Roman" w:eastAsia="Times New Roman" w:hAnsi="Times New Roman"/>
                <w:sz w:val="24"/>
                <w:szCs w:val="24"/>
              </w:rPr>
            </w:pP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Самостійне декларування відсутності підстав, визначених 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з окремими полями, а у разі відсутності/доступності відповідних полів, а також для підтвердження відсутності підстав, визначених в абзаці дев’ятому пункту 44 Особливостей – у формі довідки (зведеної довідки, інформації) в довільній формі, зміст якої(</w:t>
            </w:r>
            <w:proofErr w:type="spellStart"/>
            <w:r w:rsidRPr="001C4A2D">
              <w:rPr>
                <w:rFonts w:ascii="Times New Roman" w:eastAsia="Times New Roman" w:hAnsi="Times New Roman"/>
                <w:sz w:val="24"/>
                <w:szCs w:val="24"/>
              </w:rPr>
              <w:t>их</w:t>
            </w:r>
            <w:proofErr w:type="spellEnd"/>
            <w:r w:rsidRPr="001C4A2D">
              <w:rPr>
                <w:rFonts w:ascii="Times New Roman" w:eastAsia="Times New Roman" w:hAnsi="Times New Roman"/>
                <w:sz w:val="24"/>
                <w:szCs w:val="24"/>
              </w:rPr>
              <w:t>) підтверджує відсутність відповідних підстав.</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Переможець процедури закупівлі у строк, що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не перевищує чотири дні з дати оприлюднення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в електронній системі закупівель повідомлення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є обмеженим на момент оприлюднення оголошення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про проведення відкритих торгів.</w:t>
            </w:r>
          </w:p>
          <w:p w:rsidR="000B71C8" w:rsidRPr="001C4A2D" w:rsidRDefault="000B71C8" w:rsidP="001C4A2D">
            <w:pPr>
              <w:jc w:val="both"/>
              <w:rPr>
                <w:rFonts w:ascii="Times New Roman" w:eastAsia="Times New Roman" w:hAnsi="Times New Roman"/>
                <w:sz w:val="24"/>
                <w:szCs w:val="24"/>
              </w:rPr>
            </w:pP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Документи (файли з розширенням «</w:t>
            </w:r>
            <w:proofErr w:type="spellStart"/>
            <w:r w:rsidRPr="001C4A2D">
              <w:rPr>
                <w:rFonts w:ascii="Times New Roman" w:eastAsia="Times New Roman" w:hAnsi="Times New Roman"/>
                <w:sz w:val="24"/>
                <w:szCs w:val="24"/>
              </w:rPr>
              <w:t>..pdf</w:t>
            </w:r>
            <w:proofErr w:type="spellEnd"/>
            <w:r w:rsidRPr="001C4A2D">
              <w:rPr>
                <w:rFonts w:ascii="Times New Roman" w:eastAsia="Times New Roman" w:hAnsi="Times New Roman"/>
                <w:sz w:val="24"/>
                <w:szCs w:val="24"/>
              </w:rPr>
              <w:t>.», «</w:t>
            </w:r>
            <w:proofErr w:type="spellStart"/>
            <w:r w:rsidRPr="001C4A2D">
              <w:rPr>
                <w:rFonts w:ascii="Times New Roman" w:eastAsia="Times New Roman" w:hAnsi="Times New Roman"/>
                <w:sz w:val="24"/>
                <w:szCs w:val="24"/>
              </w:rPr>
              <w:t>..jpeg</w:t>
            </w:r>
            <w:proofErr w:type="spellEnd"/>
            <w:r w:rsidRPr="001C4A2D">
              <w:rPr>
                <w:rFonts w:ascii="Times New Roman" w:eastAsia="Times New Roman" w:hAnsi="Times New Roman"/>
                <w:sz w:val="24"/>
                <w:szCs w:val="24"/>
              </w:rPr>
              <w:t>.», тощо), що підтверджують відсутність підстав, визначених підпунктами 3, 5, 6 і 12 пункту 47 Особливостей:</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w:t>
            </w:r>
            <w:r w:rsidRPr="001C4A2D">
              <w:rPr>
                <w:rFonts w:ascii="Times New Roman" w:eastAsia="Times New Roman" w:hAnsi="Times New Roman"/>
                <w:sz w:val="24"/>
                <w:szCs w:val="24"/>
              </w:rPr>
              <w:tab/>
              <w:t>витяг (повний витяг) з інформаційно-</w:t>
            </w:r>
            <w:r w:rsidRPr="001C4A2D">
              <w:rPr>
                <w:rFonts w:ascii="Times New Roman" w:eastAsia="Times New Roman" w:hAnsi="Times New Roman"/>
                <w:sz w:val="24"/>
                <w:szCs w:val="24"/>
              </w:rPr>
              <w:lastRenderedPageBreak/>
              <w:t xml:space="preserve">аналітичної системи «Облік відомостей про притягнення особи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до кримінальної відповідальності та наявності судимості», сформований в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щодо службової (посадової) особи учасника процедури закупівлі, яка підписала тендерну пропозицію (яку уповноважено учасником представляти його інтереси під час проведення процедури закупівлі) та обставин, визначених підпунктами 3, 5, 6 і 12 пункту 47 Особливостей.</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Замовник може перевірити витяг на офіційному сайті МВС України за посиланням https://vytiah.mvs.gov.ua/app/checkStatus.</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довідка в довільній формі, яка містить інформацію, що підтверджує відсутність підстави, визначеної абзацом чотирнадцятим пункту 47 Особливостей. Учасник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У разі коли учасник процедури закупівлі має намір залучити інших суб’єктів господарювання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w:t>
            </w:r>
          </w:p>
          <w:p w:rsidR="00975042"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до учасника процедури закупівлі), замовник перевіряє таких суб’єктів господарювання щодо відсутності підстав, визначених пунктом 47 Особливостей.</w:t>
            </w:r>
          </w:p>
        </w:tc>
        <w:tc>
          <w:tcPr>
            <w:tcW w:w="4927" w:type="dxa"/>
          </w:tcPr>
          <w:p w:rsidR="00975042" w:rsidRPr="001C4A2D" w:rsidRDefault="00975042"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lastRenderedPageBreak/>
              <w:t xml:space="preserve">П. 5 розділу 3 </w:t>
            </w:r>
          </w:p>
          <w:p w:rsidR="000B71C8" w:rsidRPr="001C4A2D" w:rsidRDefault="000B71C8" w:rsidP="001C4A2D">
            <w:pPr>
              <w:jc w:val="both"/>
              <w:rPr>
                <w:rFonts w:ascii="Times New Roman" w:eastAsia="Times New Roman" w:hAnsi="Times New Roman"/>
                <w:sz w:val="24"/>
                <w:szCs w:val="24"/>
              </w:rPr>
            </w:pPr>
            <w:bookmarkStart w:id="0" w:name="_GoBack"/>
            <w:r w:rsidRPr="001C4A2D">
              <w:rPr>
                <w:rFonts w:ascii="Times New Roman" w:eastAsia="Times New Roman" w:hAnsi="Times New Roman"/>
                <w:sz w:val="24"/>
                <w:szCs w:val="24"/>
              </w:rPr>
              <w:t>Відповідно до вимог статті 16 Закону та цієї документації учасник подає в складі пропозиції документи, що підтверджують відповідність учасника наступним кваліфікаційним критеріям:</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довідку в довільній формі про виконання аналогічного договору (аналогічний за предметом договору) в повному обсязі, в якій повинно бути зазначене найменування, місцезнаходження, код ЄДРПОУ замовника, для якого виконувався аналогічний договір, телефон контактної особи замовника, вартість виконаного аналогічного договору (грн.) (на підтвердження відповідності встановленому критерію учасник надає копії договорів з копіями актів приймання-передавання наданих послуг, які підтверджують виконання аналогічного договору щодо надання послуг за останні 2 роки (строк дії договору не менше 6 міс);</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 довідки, складеної в довільній формі, про наявність у Учасника процедури закупівлі відповідної кількості працівників для здійснення надання послуг, що є предметом закупівлі, а також документально підтвердженої можливості закріплення за Замовником мінімум двох працівників </w:t>
            </w:r>
            <w:r w:rsidR="001C4A2D" w:rsidRPr="001C4A2D">
              <w:rPr>
                <w:rFonts w:ascii="Times New Roman" w:eastAsia="Times New Roman" w:hAnsi="Times New Roman"/>
                <w:sz w:val="24"/>
                <w:szCs w:val="24"/>
              </w:rPr>
              <w:t>на умовах укладання з Виконавцем</w:t>
            </w:r>
            <w:r w:rsidRPr="001C4A2D">
              <w:rPr>
                <w:rFonts w:ascii="Times New Roman" w:eastAsia="Times New Roman" w:hAnsi="Times New Roman"/>
                <w:sz w:val="24"/>
                <w:szCs w:val="24"/>
              </w:rPr>
              <w:t xml:space="preserve"> трудового контракту або ЦПД);</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B71C8" w:rsidRPr="001C4A2D" w:rsidRDefault="000B71C8" w:rsidP="001C4A2D">
            <w:pPr>
              <w:pStyle w:val="a6"/>
              <w:numPr>
                <w:ilvl w:val="0"/>
                <w:numId w:val="10"/>
              </w:numPr>
              <w:jc w:val="both"/>
              <w:rPr>
                <w:rFonts w:ascii="Times New Roman" w:eastAsia="Times New Roman" w:hAnsi="Times New Roman"/>
                <w:sz w:val="24"/>
                <w:szCs w:val="24"/>
              </w:rPr>
            </w:pPr>
            <w:r w:rsidRPr="001C4A2D">
              <w:rPr>
                <w:rFonts w:ascii="Times New Roman" w:eastAsia="Times New Roman" w:hAnsi="Times New Roman"/>
                <w:sz w:val="24"/>
                <w:szCs w:val="24"/>
              </w:rPr>
              <w:t>повний витяг з ЄДР виданий не пізніше дати оприлюднення оголошення про проведення відкритих торгів з особливостями;</w:t>
            </w:r>
          </w:p>
          <w:p w:rsidR="000B71C8" w:rsidRPr="001C4A2D" w:rsidRDefault="000B71C8" w:rsidP="001C4A2D">
            <w:pPr>
              <w:pStyle w:val="a6"/>
              <w:numPr>
                <w:ilvl w:val="0"/>
                <w:numId w:val="10"/>
              </w:numPr>
              <w:jc w:val="both"/>
              <w:rPr>
                <w:rFonts w:ascii="Times New Roman" w:eastAsia="Times New Roman" w:hAnsi="Times New Roman"/>
                <w:sz w:val="24"/>
                <w:szCs w:val="24"/>
              </w:rPr>
            </w:pPr>
            <w:r w:rsidRPr="001C4A2D">
              <w:rPr>
                <w:rFonts w:ascii="Times New Roman" w:eastAsia="Times New Roman" w:hAnsi="Times New Roman"/>
                <w:sz w:val="24"/>
                <w:szCs w:val="24"/>
              </w:rPr>
              <w:t>договори з постачальниками товарів, які Виконавець планує використовувати при наданні послуг з гарантійними листами від постачальників щодо незмінної ціни на протязі всього періоду надання послуг за договором, укладеним в результаті даної процедури</w:t>
            </w:r>
          </w:p>
          <w:p w:rsidR="000B71C8" w:rsidRPr="001C4A2D" w:rsidRDefault="000B71C8" w:rsidP="001C4A2D">
            <w:pPr>
              <w:jc w:val="both"/>
              <w:rPr>
                <w:rFonts w:ascii="Times New Roman" w:eastAsia="Times New Roman" w:hAnsi="Times New Roman"/>
                <w:sz w:val="24"/>
                <w:szCs w:val="24"/>
              </w:rPr>
            </w:pP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Крім того, надається наступна інформація:</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1</w:t>
            </w:r>
            <w:r w:rsidRPr="001C4A2D">
              <w:rPr>
                <w:rFonts w:ascii="Times New Roman" w:eastAsia="Times New Roman" w:hAnsi="Times New Roman"/>
                <w:sz w:val="24"/>
                <w:szCs w:val="24"/>
              </w:rPr>
              <w:tab/>
              <w:t xml:space="preserve">Копія або оригінал документу, який </w:t>
            </w:r>
            <w:r w:rsidRPr="001C4A2D">
              <w:rPr>
                <w:rFonts w:ascii="Times New Roman" w:eastAsia="Times New Roman" w:hAnsi="Times New Roman"/>
                <w:sz w:val="24"/>
                <w:szCs w:val="24"/>
              </w:rPr>
              <w:lastRenderedPageBreak/>
              <w:t>підтверджує статус та повноваження особи учасника на підписання документів тендерної пропозиції та договору за результатами торгів:</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w:t>
            </w:r>
            <w:r w:rsidRPr="001C4A2D">
              <w:rPr>
                <w:rFonts w:ascii="Times New Roman" w:eastAsia="Times New Roman" w:hAnsi="Times New Roman"/>
                <w:sz w:val="24"/>
                <w:szCs w:val="24"/>
              </w:rPr>
              <w:tab/>
              <w:t>довідку щодо особи (осіб), уповноваженої (</w:t>
            </w:r>
            <w:proofErr w:type="spellStart"/>
            <w:r w:rsidRPr="001C4A2D">
              <w:rPr>
                <w:rFonts w:ascii="Times New Roman" w:eastAsia="Times New Roman" w:hAnsi="Times New Roman"/>
                <w:sz w:val="24"/>
                <w:szCs w:val="24"/>
              </w:rPr>
              <w:t>их</w:t>
            </w:r>
            <w:proofErr w:type="spellEnd"/>
            <w:r w:rsidRPr="001C4A2D">
              <w:rPr>
                <w:rFonts w:ascii="Times New Roman" w:eastAsia="Times New Roman" w:hAnsi="Times New Roman"/>
                <w:sz w:val="24"/>
                <w:szCs w:val="24"/>
              </w:rPr>
              <w:t>) на підписання документів тендерної пропозиції та договору про закупівлю;</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w:t>
            </w:r>
            <w:r w:rsidRPr="001C4A2D">
              <w:rPr>
                <w:rFonts w:ascii="Times New Roman" w:eastAsia="Times New Roman" w:hAnsi="Times New Roman"/>
                <w:sz w:val="24"/>
                <w:szCs w:val="24"/>
              </w:rPr>
              <w:tab/>
              <w:t>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w:t>
            </w:r>
            <w:r w:rsidRPr="001C4A2D">
              <w:rPr>
                <w:rFonts w:ascii="Times New Roman" w:eastAsia="Times New Roman" w:hAnsi="Times New Roman"/>
                <w:sz w:val="24"/>
                <w:szCs w:val="24"/>
              </w:rPr>
              <w:tab/>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w:t>
            </w:r>
            <w:r w:rsidRPr="001C4A2D">
              <w:rPr>
                <w:rFonts w:ascii="Times New Roman" w:eastAsia="Times New Roman" w:hAnsi="Times New Roman"/>
                <w:sz w:val="24"/>
                <w:szCs w:val="24"/>
              </w:rPr>
              <w:tab/>
              <w:t>для учасників-юридичних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ab/>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2</w:t>
            </w:r>
            <w:r w:rsidRPr="001C4A2D">
              <w:rPr>
                <w:rFonts w:ascii="Times New Roman" w:eastAsia="Times New Roman" w:hAnsi="Times New Roman"/>
                <w:sz w:val="24"/>
                <w:szCs w:val="24"/>
              </w:rPr>
              <w:tab/>
              <w:t xml:space="preserve">У разі якщо учасник або його кінцевий </w:t>
            </w:r>
            <w:proofErr w:type="spellStart"/>
            <w:r w:rsidRPr="001C4A2D">
              <w:rPr>
                <w:rFonts w:ascii="Times New Roman" w:eastAsia="Times New Roman" w:hAnsi="Times New Roman"/>
                <w:sz w:val="24"/>
                <w:szCs w:val="24"/>
              </w:rPr>
              <w:t>бенефіціарний</w:t>
            </w:r>
            <w:proofErr w:type="spellEnd"/>
            <w:r w:rsidRPr="001C4A2D">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w:t>
            </w:r>
            <w:r w:rsidRPr="001C4A2D">
              <w:rPr>
                <w:rFonts w:ascii="Times New Roman" w:eastAsia="Times New Roman" w:hAnsi="Times New Roman"/>
                <w:sz w:val="24"/>
                <w:szCs w:val="24"/>
              </w:rPr>
              <w:lastRenderedPageBreak/>
              <w:t>службі транспорту або Національній гвардії України, або посвідчення біженця чи документ, що підтверджує надання притулку в Україні, або</w:t>
            </w:r>
            <w:r w:rsidRPr="001C4A2D">
              <w:rPr>
                <w:rFonts w:ascii="Times New Roman" w:eastAsia="Times New Roman" w:hAnsi="Times New Roman"/>
                <w:sz w:val="24"/>
                <w:szCs w:val="24"/>
              </w:rPr>
              <w:tab/>
              <w:t>посвідчення особи, яка потребує</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3</w:t>
            </w:r>
            <w:r w:rsidRPr="001C4A2D">
              <w:rPr>
                <w:rFonts w:ascii="Times New Roman" w:eastAsia="Times New Roman" w:hAnsi="Times New Roman"/>
                <w:sz w:val="24"/>
                <w:szCs w:val="24"/>
              </w:rPr>
              <w:tab/>
              <w:t>Для учасників-юридичних осіб - завірену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r w:rsidRPr="001C4A2D">
              <w:rPr>
                <w:rFonts w:ascii="Times New Roman" w:eastAsia="Times New Roman" w:hAnsi="Times New Roman"/>
                <w:sz w:val="24"/>
                <w:szCs w:val="24"/>
              </w:rPr>
              <w:t>.</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B71C8" w:rsidRPr="001C4A2D" w:rsidRDefault="000B71C8" w:rsidP="001C4A2D">
            <w:pPr>
              <w:jc w:val="both"/>
              <w:rPr>
                <w:rFonts w:ascii="Times New Roman" w:eastAsia="Times New Roman" w:hAnsi="Times New Roman"/>
                <w:sz w:val="24"/>
                <w:szCs w:val="24"/>
              </w:rPr>
            </w:pP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У разі коли учасник процедури закупівлі має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намір залучити інших суб’єктів господарювання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як субпідрядників/співвиконавців в обсязі не менш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w:t>
            </w:r>
            <w:r w:rsidRPr="001C4A2D">
              <w:rPr>
                <w:rFonts w:ascii="Times New Roman" w:eastAsia="Times New Roman" w:hAnsi="Times New Roman"/>
                <w:sz w:val="24"/>
                <w:szCs w:val="24"/>
              </w:rPr>
              <w:lastRenderedPageBreak/>
              <w:t>відсутності підстав, визначених пунктом 47 Особливостей.</w:t>
            </w:r>
          </w:p>
          <w:p w:rsidR="000B71C8" w:rsidRPr="001C4A2D" w:rsidRDefault="000B71C8" w:rsidP="001C4A2D">
            <w:pPr>
              <w:jc w:val="both"/>
              <w:rPr>
                <w:rFonts w:ascii="Times New Roman" w:eastAsia="Times New Roman" w:hAnsi="Times New Roman"/>
                <w:sz w:val="24"/>
                <w:szCs w:val="24"/>
              </w:rPr>
            </w:pP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Самостійне декларування відсутності підстав, визначених 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з окремими полями, а у разі відсутності/доступності відповідних полів, а також для підтвердження відсутності підстав, визначених в абзаці дев’ятому пункту 44 Особливостей – у формі довідки (зведеної довідки, інформації) в довільній формі, зміст якої(</w:t>
            </w:r>
            <w:proofErr w:type="spellStart"/>
            <w:r w:rsidRPr="001C4A2D">
              <w:rPr>
                <w:rFonts w:ascii="Times New Roman" w:eastAsia="Times New Roman" w:hAnsi="Times New Roman"/>
                <w:sz w:val="24"/>
                <w:szCs w:val="24"/>
              </w:rPr>
              <w:t>их</w:t>
            </w:r>
            <w:proofErr w:type="spellEnd"/>
            <w:r w:rsidRPr="001C4A2D">
              <w:rPr>
                <w:rFonts w:ascii="Times New Roman" w:eastAsia="Times New Roman" w:hAnsi="Times New Roman"/>
                <w:sz w:val="24"/>
                <w:szCs w:val="24"/>
              </w:rPr>
              <w:t>) підтверджує відсутність відповідних підстав.</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Переможець процедури закупівлі у строк, що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не перевищує чотири дні з дати оприлюднення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в електронній системі закупівель повідомлення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є обмеженим на момент оприлюднення оголошення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про проведення відкритих торгів.</w:t>
            </w:r>
          </w:p>
          <w:p w:rsidR="000B71C8" w:rsidRPr="001C4A2D" w:rsidRDefault="000B71C8" w:rsidP="001C4A2D">
            <w:pPr>
              <w:jc w:val="both"/>
              <w:rPr>
                <w:rFonts w:ascii="Times New Roman" w:eastAsia="Times New Roman" w:hAnsi="Times New Roman"/>
                <w:sz w:val="24"/>
                <w:szCs w:val="24"/>
              </w:rPr>
            </w:pP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Документи (файли з розширенням «</w:t>
            </w:r>
            <w:proofErr w:type="spellStart"/>
            <w:r w:rsidRPr="001C4A2D">
              <w:rPr>
                <w:rFonts w:ascii="Times New Roman" w:eastAsia="Times New Roman" w:hAnsi="Times New Roman"/>
                <w:sz w:val="24"/>
                <w:szCs w:val="24"/>
              </w:rPr>
              <w:t>..pdf</w:t>
            </w:r>
            <w:proofErr w:type="spellEnd"/>
            <w:r w:rsidRPr="001C4A2D">
              <w:rPr>
                <w:rFonts w:ascii="Times New Roman" w:eastAsia="Times New Roman" w:hAnsi="Times New Roman"/>
                <w:sz w:val="24"/>
                <w:szCs w:val="24"/>
              </w:rPr>
              <w:t>.», «</w:t>
            </w:r>
            <w:proofErr w:type="spellStart"/>
            <w:r w:rsidRPr="001C4A2D">
              <w:rPr>
                <w:rFonts w:ascii="Times New Roman" w:eastAsia="Times New Roman" w:hAnsi="Times New Roman"/>
                <w:sz w:val="24"/>
                <w:szCs w:val="24"/>
              </w:rPr>
              <w:t>..jpeg</w:t>
            </w:r>
            <w:proofErr w:type="spellEnd"/>
            <w:r w:rsidRPr="001C4A2D">
              <w:rPr>
                <w:rFonts w:ascii="Times New Roman" w:eastAsia="Times New Roman" w:hAnsi="Times New Roman"/>
                <w:sz w:val="24"/>
                <w:szCs w:val="24"/>
              </w:rPr>
              <w:t>.», тощо), що підтверджують відсутність підстав, визначених підпунктами 3, 5, 6 і 12 пункту 47 Особливостей:</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w:t>
            </w:r>
            <w:r w:rsidRPr="001C4A2D">
              <w:rPr>
                <w:rFonts w:ascii="Times New Roman" w:eastAsia="Times New Roman" w:hAnsi="Times New Roman"/>
                <w:sz w:val="24"/>
                <w:szCs w:val="24"/>
              </w:rPr>
              <w:tab/>
              <w:t xml:space="preserve">витяг (повний витяг) з інформаційно-аналітичної системи «Облік відомостей про притягнення особи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до кримінальної відповідальності та наявності судимості», сформований в електронній формі, що містить інформацію про відсутність судимості або обмежень, </w:t>
            </w:r>
            <w:r w:rsidRPr="001C4A2D">
              <w:rPr>
                <w:rFonts w:ascii="Times New Roman" w:eastAsia="Times New Roman" w:hAnsi="Times New Roman"/>
                <w:sz w:val="24"/>
                <w:szCs w:val="24"/>
              </w:rPr>
              <w:lastRenderedPageBreak/>
              <w:t>передбачених кримінальним процесуальним законодавством України щодо фізичної особи, яка є учасником процедури закупівлі або щодо службової (посадової) особи учасника процедури закупівлі, яка підписала тендерну пропозицію (яку уповноважено учасником представляти його інтереси під час проведення процедури закупівлі) та обставин, визначених підпунктами 3, 5, 6 і 12 пункту 47 Особливостей.</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Замовник може перевірити витяг на офіційному сайті МВС України за посиланням https://vytiah.mvs.gov.ua/app/checkStatus.</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Інформаційна</w:t>
            </w:r>
            <w:r w:rsidRPr="001C4A2D">
              <w:rPr>
                <w:rFonts w:ascii="Times New Roman" w:eastAsia="Times New Roman" w:hAnsi="Times New Roman"/>
                <w:sz w:val="24"/>
                <w:szCs w:val="24"/>
              </w:rPr>
              <w:tab/>
              <w:t>довідка</w:t>
            </w:r>
            <w:r w:rsidRPr="001C4A2D">
              <w:rPr>
                <w:rFonts w:ascii="Times New Roman" w:eastAsia="Times New Roman" w:hAnsi="Times New Roman"/>
                <w:sz w:val="24"/>
                <w:szCs w:val="24"/>
              </w:rPr>
              <w:tab/>
              <w:t>з</w:t>
            </w:r>
            <w:r w:rsidRPr="001C4A2D">
              <w:rPr>
                <w:rFonts w:ascii="Times New Roman" w:eastAsia="Times New Roman" w:hAnsi="Times New Roman"/>
                <w:sz w:val="24"/>
                <w:szCs w:val="24"/>
              </w:rPr>
              <w:tab/>
              <w:t>Єдиного</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w:t>
            </w:r>
            <w:r w:rsidRPr="001C4A2D">
              <w:rPr>
                <w:rFonts w:ascii="Times New Roman" w:eastAsia="Times New Roman" w:hAnsi="Times New Roman"/>
                <w:sz w:val="24"/>
                <w:szCs w:val="24"/>
              </w:rPr>
              <w:tab/>
              <w:t>на</w:t>
            </w:r>
            <w:r w:rsidRPr="001C4A2D">
              <w:rPr>
                <w:rFonts w:ascii="Times New Roman" w:eastAsia="Times New Roman" w:hAnsi="Times New Roman"/>
                <w:sz w:val="24"/>
                <w:szCs w:val="24"/>
              </w:rPr>
              <w:tab/>
            </w:r>
            <w:proofErr w:type="spellStart"/>
            <w:r w:rsidRPr="001C4A2D">
              <w:rPr>
                <w:rFonts w:ascii="Times New Roman" w:eastAsia="Times New Roman" w:hAnsi="Times New Roman"/>
                <w:sz w:val="24"/>
                <w:szCs w:val="24"/>
              </w:rPr>
              <w:t>вебресурсі</w:t>
            </w:r>
            <w:proofErr w:type="spellEnd"/>
            <w:r w:rsidRPr="001C4A2D">
              <w:rPr>
                <w:rFonts w:ascii="Times New Roman" w:eastAsia="Times New Roman" w:hAnsi="Times New Roman"/>
                <w:sz w:val="24"/>
                <w:szCs w:val="24"/>
              </w:rPr>
              <w:tab/>
              <w:t>Єдиного</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державного реєстру осіб, які вчинили корупційні або пов’язані з корупцією правопорушення,</w:t>
            </w:r>
            <w:r w:rsidRPr="001C4A2D">
              <w:rPr>
                <w:rFonts w:ascii="Times New Roman" w:eastAsia="Times New Roman" w:hAnsi="Times New Roman"/>
                <w:sz w:val="24"/>
                <w:szCs w:val="24"/>
              </w:rPr>
              <w:tab/>
              <w:t>яка</w:t>
            </w:r>
            <w:r w:rsidRPr="001C4A2D">
              <w:rPr>
                <w:rFonts w:ascii="Times New Roman" w:eastAsia="Times New Roman" w:hAnsi="Times New Roman"/>
                <w:sz w:val="24"/>
                <w:szCs w:val="24"/>
              </w:rPr>
              <w:tab/>
              <w:t>не</w:t>
            </w:r>
            <w:r w:rsidRPr="001C4A2D">
              <w:rPr>
                <w:rFonts w:ascii="Times New Roman" w:eastAsia="Times New Roman" w:hAnsi="Times New Roman"/>
                <w:sz w:val="24"/>
                <w:szCs w:val="24"/>
              </w:rPr>
              <w:tab/>
              <w:t>стосується</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запитувача.</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Повний витяг з інформаційно-аналітичної системи</w:t>
            </w:r>
            <w:r w:rsidRPr="001C4A2D">
              <w:rPr>
                <w:rFonts w:ascii="Times New Roman" w:eastAsia="Times New Roman" w:hAnsi="Times New Roman"/>
                <w:sz w:val="24"/>
                <w:szCs w:val="24"/>
              </w:rPr>
              <w:tab/>
              <w:t>«Облік</w:t>
            </w:r>
            <w:r w:rsidRPr="001C4A2D">
              <w:rPr>
                <w:rFonts w:ascii="Times New Roman" w:eastAsia="Times New Roman" w:hAnsi="Times New Roman"/>
                <w:sz w:val="24"/>
                <w:szCs w:val="24"/>
              </w:rPr>
              <w:tab/>
              <w:t>відомостей</w:t>
            </w:r>
            <w:r w:rsidRPr="001C4A2D">
              <w:rPr>
                <w:rFonts w:ascii="Times New Roman" w:eastAsia="Times New Roman" w:hAnsi="Times New Roman"/>
                <w:sz w:val="24"/>
                <w:szCs w:val="24"/>
              </w:rPr>
              <w:tab/>
              <w:t>про</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притягнення</w:t>
            </w:r>
            <w:r w:rsidRPr="001C4A2D">
              <w:rPr>
                <w:rFonts w:ascii="Times New Roman" w:eastAsia="Times New Roman" w:hAnsi="Times New Roman"/>
                <w:sz w:val="24"/>
                <w:szCs w:val="24"/>
              </w:rPr>
              <w:tab/>
              <w:t>особи</w:t>
            </w:r>
            <w:r w:rsidRPr="001C4A2D">
              <w:rPr>
                <w:rFonts w:ascii="Times New Roman" w:eastAsia="Times New Roman" w:hAnsi="Times New Roman"/>
                <w:sz w:val="24"/>
                <w:szCs w:val="24"/>
              </w:rPr>
              <w:tab/>
              <w:t>до</w:t>
            </w:r>
            <w:r w:rsidRPr="001C4A2D">
              <w:rPr>
                <w:rFonts w:ascii="Times New Roman" w:eastAsia="Times New Roman" w:hAnsi="Times New Roman"/>
                <w:sz w:val="24"/>
                <w:szCs w:val="24"/>
              </w:rPr>
              <w:tab/>
              <w:t>кримінальної</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відповідальності та наявності судимості» сформований у паперовій або електронній формі,</w:t>
            </w:r>
            <w:r w:rsidRPr="001C4A2D">
              <w:rPr>
                <w:rFonts w:ascii="Times New Roman" w:eastAsia="Times New Roman" w:hAnsi="Times New Roman"/>
                <w:sz w:val="24"/>
                <w:szCs w:val="24"/>
              </w:rPr>
              <w:tab/>
              <w:t>що</w:t>
            </w:r>
            <w:r w:rsidRPr="001C4A2D">
              <w:rPr>
                <w:rFonts w:ascii="Times New Roman" w:eastAsia="Times New Roman" w:hAnsi="Times New Roman"/>
                <w:sz w:val="24"/>
                <w:szCs w:val="24"/>
              </w:rPr>
              <w:tab/>
              <w:t>містить</w:t>
            </w:r>
            <w:r w:rsidRPr="001C4A2D">
              <w:rPr>
                <w:rFonts w:ascii="Times New Roman" w:eastAsia="Times New Roman" w:hAnsi="Times New Roman"/>
                <w:sz w:val="24"/>
                <w:szCs w:val="24"/>
              </w:rPr>
              <w:tab/>
              <w:t>інформацію</w:t>
            </w:r>
            <w:r w:rsidRPr="001C4A2D">
              <w:rPr>
                <w:rFonts w:ascii="Times New Roman" w:eastAsia="Times New Roman" w:hAnsi="Times New Roman"/>
                <w:sz w:val="24"/>
                <w:szCs w:val="24"/>
              </w:rPr>
              <w:tab/>
              <w:t>про</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відсутність</w:t>
            </w:r>
            <w:r w:rsidRPr="001C4A2D">
              <w:rPr>
                <w:rFonts w:ascii="Times New Roman" w:eastAsia="Times New Roman" w:hAnsi="Times New Roman"/>
                <w:sz w:val="24"/>
                <w:szCs w:val="24"/>
              </w:rPr>
              <w:tab/>
              <w:t>судимості</w:t>
            </w:r>
            <w:r w:rsidRPr="001C4A2D">
              <w:rPr>
                <w:rFonts w:ascii="Times New Roman" w:eastAsia="Times New Roman" w:hAnsi="Times New Roman"/>
                <w:sz w:val="24"/>
                <w:szCs w:val="24"/>
              </w:rPr>
              <w:tab/>
              <w:t>або</w:t>
            </w:r>
            <w:r w:rsidRPr="001C4A2D">
              <w:rPr>
                <w:rFonts w:ascii="Times New Roman" w:eastAsia="Times New Roman" w:hAnsi="Times New Roman"/>
                <w:sz w:val="24"/>
                <w:szCs w:val="24"/>
              </w:rPr>
              <w:tab/>
              <w:t>обмежень,</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передбачених</w:t>
            </w:r>
            <w:r w:rsidRPr="001C4A2D">
              <w:rPr>
                <w:rFonts w:ascii="Times New Roman" w:eastAsia="Times New Roman" w:hAnsi="Times New Roman"/>
                <w:sz w:val="24"/>
                <w:szCs w:val="24"/>
              </w:rPr>
              <w:tab/>
              <w:t>кримінальним</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процесуальним законодавством України щодо</w:t>
            </w:r>
            <w:r w:rsidRPr="001C4A2D">
              <w:rPr>
                <w:rFonts w:ascii="Times New Roman" w:eastAsia="Times New Roman" w:hAnsi="Times New Roman"/>
                <w:sz w:val="24"/>
                <w:szCs w:val="24"/>
              </w:rPr>
              <w:tab/>
              <w:t>керівника</w:t>
            </w:r>
            <w:r w:rsidRPr="001C4A2D">
              <w:rPr>
                <w:rFonts w:ascii="Times New Roman" w:eastAsia="Times New Roman" w:hAnsi="Times New Roman"/>
                <w:sz w:val="24"/>
                <w:szCs w:val="24"/>
              </w:rPr>
              <w:tab/>
              <w:t>учасника</w:t>
            </w:r>
            <w:r w:rsidRPr="001C4A2D">
              <w:rPr>
                <w:rFonts w:ascii="Times New Roman" w:eastAsia="Times New Roman" w:hAnsi="Times New Roman"/>
                <w:sz w:val="24"/>
                <w:szCs w:val="24"/>
              </w:rPr>
              <w:tab/>
              <w:t>процедури</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закупівлі.</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Документ</w:t>
            </w:r>
            <w:r w:rsidRPr="001C4A2D">
              <w:rPr>
                <w:rFonts w:ascii="Times New Roman" w:eastAsia="Times New Roman" w:hAnsi="Times New Roman"/>
                <w:sz w:val="24"/>
                <w:szCs w:val="24"/>
              </w:rPr>
              <w:tab/>
              <w:t>повинен</w:t>
            </w:r>
            <w:r w:rsidRPr="001C4A2D">
              <w:rPr>
                <w:rFonts w:ascii="Times New Roman" w:eastAsia="Times New Roman" w:hAnsi="Times New Roman"/>
                <w:sz w:val="24"/>
                <w:szCs w:val="24"/>
              </w:rPr>
              <w:tab/>
              <w:t>бути</w:t>
            </w:r>
            <w:r w:rsidRPr="001C4A2D">
              <w:rPr>
                <w:rFonts w:ascii="Times New Roman" w:eastAsia="Times New Roman" w:hAnsi="Times New Roman"/>
                <w:sz w:val="24"/>
                <w:szCs w:val="24"/>
              </w:rPr>
              <w:tab/>
              <w:t>не</w:t>
            </w:r>
            <w:r w:rsidRPr="001C4A2D">
              <w:rPr>
                <w:rFonts w:ascii="Times New Roman" w:eastAsia="Times New Roman" w:hAnsi="Times New Roman"/>
                <w:sz w:val="24"/>
                <w:szCs w:val="24"/>
              </w:rPr>
              <w:tab/>
              <w:t>більше</w:t>
            </w:r>
          </w:p>
          <w:p w:rsidR="000B71C8" w:rsidRPr="001C4A2D" w:rsidRDefault="000B71C8" w:rsidP="001C4A2D">
            <w:pPr>
              <w:jc w:val="both"/>
              <w:rPr>
                <w:rFonts w:ascii="Times New Roman" w:eastAsia="Times New Roman" w:hAnsi="Times New Roman"/>
                <w:sz w:val="24"/>
                <w:szCs w:val="24"/>
              </w:rPr>
            </w:pPr>
            <w:proofErr w:type="spellStart"/>
            <w:r w:rsidRPr="001C4A2D">
              <w:rPr>
                <w:rFonts w:ascii="Times New Roman" w:eastAsia="Times New Roman" w:hAnsi="Times New Roman"/>
                <w:sz w:val="24"/>
                <w:szCs w:val="24"/>
              </w:rPr>
              <w:t>тридцятиденної</w:t>
            </w:r>
            <w:proofErr w:type="spellEnd"/>
            <w:r w:rsidRPr="001C4A2D">
              <w:rPr>
                <w:rFonts w:ascii="Times New Roman" w:eastAsia="Times New Roman" w:hAnsi="Times New Roman"/>
                <w:sz w:val="24"/>
                <w:szCs w:val="24"/>
              </w:rPr>
              <w:t xml:space="preserve"> давнини від дати подання документа.</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довідка з Єдиного реєстру підприємств, щодо яких порушено провадження у справі про банкрутство.</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 довідка в довільній формі, яка містить інформацію, що підтверджує відсутність підстави, визначеної абзацом чотирнадцятим пункту 47 Особливостей. Учасник процедури закупівлі, що перебуває в обставинах, зазначених у абзаці чотирнадцятому пункту 47 Особливостей, може надати </w:t>
            </w:r>
            <w:r w:rsidRPr="001C4A2D">
              <w:rPr>
                <w:rFonts w:ascii="Times New Roman" w:eastAsia="Times New Roman" w:hAnsi="Times New Roman"/>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У разі коли учасник процедури закупівлі має намір залучити інших суб’єктів господарювання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 xml:space="preserve">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w:t>
            </w:r>
          </w:p>
          <w:p w:rsidR="000B71C8" w:rsidRPr="001C4A2D" w:rsidRDefault="000B71C8" w:rsidP="001C4A2D">
            <w:pPr>
              <w:jc w:val="both"/>
              <w:rPr>
                <w:rFonts w:ascii="Times New Roman" w:eastAsia="Times New Roman" w:hAnsi="Times New Roman"/>
                <w:sz w:val="24"/>
                <w:szCs w:val="24"/>
              </w:rPr>
            </w:pPr>
            <w:r w:rsidRPr="001C4A2D">
              <w:rPr>
                <w:rFonts w:ascii="Times New Roman" w:eastAsia="Times New Roman" w:hAnsi="Times New Roman"/>
                <w:sz w:val="24"/>
                <w:szCs w:val="24"/>
              </w:rPr>
              <w:t>до учасника процедури закупівлі), замовник перевіряє таких суб’єктів господарювання щодо відсутності підстав, визначених пунктом 47 Особливостей.</w:t>
            </w:r>
          </w:p>
          <w:bookmarkEnd w:id="0"/>
          <w:p w:rsidR="000B71C8" w:rsidRPr="001C4A2D" w:rsidRDefault="000B71C8" w:rsidP="001C4A2D">
            <w:pPr>
              <w:jc w:val="both"/>
              <w:rPr>
                <w:rFonts w:ascii="Times New Roman" w:eastAsia="Times New Roman" w:hAnsi="Times New Roman"/>
                <w:sz w:val="24"/>
                <w:szCs w:val="24"/>
              </w:rPr>
            </w:pPr>
          </w:p>
          <w:p w:rsidR="00975042" w:rsidRPr="001C4A2D" w:rsidRDefault="00975042" w:rsidP="001C4A2D">
            <w:pPr>
              <w:jc w:val="both"/>
              <w:rPr>
                <w:rFonts w:ascii="Times New Roman" w:eastAsia="Times New Roman" w:hAnsi="Times New Roman"/>
                <w:sz w:val="24"/>
                <w:szCs w:val="24"/>
              </w:rPr>
            </w:pPr>
          </w:p>
        </w:tc>
      </w:tr>
    </w:tbl>
    <w:p w:rsidR="00E048AF" w:rsidRPr="003D5102" w:rsidRDefault="00E048AF" w:rsidP="00E048AF">
      <w:pPr>
        <w:spacing w:after="0" w:line="240" w:lineRule="auto"/>
        <w:jc w:val="center"/>
        <w:rPr>
          <w:rFonts w:ascii="Times New Roman" w:eastAsia="Times New Roman" w:hAnsi="Times New Roman"/>
          <w:b/>
          <w:sz w:val="24"/>
          <w:szCs w:val="24"/>
          <w:lang w:val="uk-UA"/>
        </w:rPr>
      </w:pPr>
    </w:p>
    <w:sectPr w:rsidR="00E048AF" w:rsidRPr="003D5102" w:rsidSect="00E53B1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0AD"/>
    <w:multiLevelType w:val="hybridMultilevel"/>
    <w:tmpl w:val="ACE6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32407"/>
    <w:multiLevelType w:val="hybridMultilevel"/>
    <w:tmpl w:val="ACE6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D122F"/>
    <w:multiLevelType w:val="hybridMultilevel"/>
    <w:tmpl w:val="D6C61C90"/>
    <w:lvl w:ilvl="0" w:tplc="E7C0469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E1347FF"/>
    <w:multiLevelType w:val="hybridMultilevel"/>
    <w:tmpl w:val="ACE6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658F6"/>
    <w:multiLevelType w:val="hybridMultilevel"/>
    <w:tmpl w:val="D5B87C6E"/>
    <w:lvl w:ilvl="0" w:tplc="E6BA04B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895505"/>
    <w:multiLevelType w:val="hybridMultilevel"/>
    <w:tmpl w:val="ACE6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A0CAB"/>
    <w:multiLevelType w:val="hybridMultilevel"/>
    <w:tmpl w:val="D5E67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0F103C"/>
    <w:multiLevelType w:val="hybridMultilevel"/>
    <w:tmpl w:val="C57002A8"/>
    <w:lvl w:ilvl="0" w:tplc="6BA634A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725E541E"/>
    <w:multiLevelType w:val="hybridMultilevel"/>
    <w:tmpl w:val="3B2ECD56"/>
    <w:lvl w:ilvl="0" w:tplc="813C6912">
      <w:start w:val="1"/>
      <w:numFmt w:val="decimal"/>
      <w:lvlText w:val="%1."/>
      <w:lvlJc w:val="left"/>
      <w:pPr>
        <w:ind w:left="1660" w:hanging="9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7F4A0755"/>
    <w:multiLevelType w:val="multilevel"/>
    <w:tmpl w:val="CAE670E6"/>
    <w:lvl w:ilvl="0">
      <w:start w:val="4"/>
      <w:numFmt w:val="decimal"/>
      <w:lvlText w:val="%1."/>
      <w:lvlJc w:val="left"/>
      <w:pPr>
        <w:ind w:left="360" w:hanging="360"/>
      </w:pPr>
      <w:rPr>
        <w:rFonts w:hint="default"/>
        <w:i w:val="0"/>
      </w:rPr>
    </w:lvl>
    <w:lvl w:ilvl="1">
      <w:start w:val="4"/>
      <w:numFmt w:val="decimal"/>
      <w:lvlText w:val="%1.%2."/>
      <w:lvlJc w:val="left"/>
      <w:pPr>
        <w:ind w:left="1211" w:hanging="36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num w:numId="1">
    <w:abstractNumId w:val="3"/>
  </w:num>
  <w:num w:numId="2">
    <w:abstractNumId w:val="0"/>
  </w:num>
  <w:num w:numId="3">
    <w:abstractNumId w:val="1"/>
  </w:num>
  <w:num w:numId="4">
    <w:abstractNumId w:val="9"/>
  </w:num>
  <w:num w:numId="5">
    <w:abstractNumId w:val="5"/>
  </w:num>
  <w:num w:numId="6">
    <w:abstractNumId w:val="6"/>
  </w:num>
  <w:num w:numId="7">
    <w:abstractNumId w:val="4"/>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E7"/>
    <w:rsid w:val="00017D45"/>
    <w:rsid w:val="000658AD"/>
    <w:rsid w:val="0009050E"/>
    <w:rsid w:val="000A4D05"/>
    <w:rsid w:val="000B71C8"/>
    <w:rsid w:val="000C2EEF"/>
    <w:rsid w:val="000F7994"/>
    <w:rsid w:val="00103877"/>
    <w:rsid w:val="00104CE2"/>
    <w:rsid w:val="00162297"/>
    <w:rsid w:val="001A3B73"/>
    <w:rsid w:val="001C4A2D"/>
    <w:rsid w:val="0030163C"/>
    <w:rsid w:val="00356DAD"/>
    <w:rsid w:val="00390A3E"/>
    <w:rsid w:val="003D5102"/>
    <w:rsid w:val="003F4381"/>
    <w:rsid w:val="00421C38"/>
    <w:rsid w:val="00443C98"/>
    <w:rsid w:val="0044508D"/>
    <w:rsid w:val="00447A39"/>
    <w:rsid w:val="004617C0"/>
    <w:rsid w:val="004D251F"/>
    <w:rsid w:val="00503B02"/>
    <w:rsid w:val="005311D6"/>
    <w:rsid w:val="0053142C"/>
    <w:rsid w:val="00533EA4"/>
    <w:rsid w:val="00556A74"/>
    <w:rsid w:val="00597B0F"/>
    <w:rsid w:val="005E5EE8"/>
    <w:rsid w:val="006141A0"/>
    <w:rsid w:val="00626D92"/>
    <w:rsid w:val="006462F4"/>
    <w:rsid w:val="00656DAE"/>
    <w:rsid w:val="006A721A"/>
    <w:rsid w:val="006C7CDD"/>
    <w:rsid w:val="00761E5C"/>
    <w:rsid w:val="00797036"/>
    <w:rsid w:val="007A3DAF"/>
    <w:rsid w:val="007A7701"/>
    <w:rsid w:val="0080481E"/>
    <w:rsid w:val="008157D0"/>
    <w:rsid w:val="00856A3C"/>
    <w:rsid w:val="0086447F"/>
    <w:rsid w:val="00880359"/>
    <w:rsid w:val="008B72A7"/>
    <w:rsid w:val="008D6B80"/>
    <w:rsid w:val="008F689F"/>
    <w:rsid w:val="00901A6D"/>
    <w:rsid w:val="009433E5"/>
    <w:rsid w:val="0095489D"/>
    <w:rsid w:val="0096537F"/>
    <w:rsid w:val="00975042"/>
    <w:rsid w:val="00991DA5"/>
    <w:rsid w:val="009967E1"/>
    <w:rsid w:val="009A7321"/>
    <w:rsid w:val="009B35B9"/>
    <w:rsid w:val="009B42E7"/>
    <w:rsid w:val="00A02E74"/>
    <w:rsid w:val="00A421F7"/>
    <w:rsid w:val="00AC5EAF"/>
    <w:rsid w:val="00B407A9"/>
    <w:rsid w:val="00B475D2"/>
    <w:rsid w:val="00B568B0"/>
    <w:rsid w:val="00B6394F"/>
    <w:rsid w:val="00B71215"/>
    <w:rsid w:val="00B775E9"/>
    <w:rsid w:val="00BA3E3A"/>
    <w:rsid w:val="00C12945"/>
    <w:rsid w:val="00C6420C"/>
    <w:rsid w:val="00C64B1C"/>
    <w:rsid w:val="00C86525"/>
    <w:rsid w:val="00C93B6A"/>
    <w:rsid w:val="00CC3754"/>
    <w:rsid w:val="00D07512"/>
    <w:rsid w:val="00D23E6A"/>
    <w:rsid w:val="00D7208D"/>
    <w:rsid w:val="00D87140"/>
    <w:rsid w:val="00DE3141"/>
    <w:rsid w:val="00E048AF"/>
    <w:rsid w:val="00E169AE"/>
    <w:rsid w:val="00E30A05"/>
    <w:rsid w:val="00E53B16"/>
    <w:rsid w:val="00E60350"/>
    <w:rsid w:val="00E90BF2"/>
    <w:rsid w:val="00E964D0"/>
    <w:rsid w:val="00EC39C2"/>
    <w:rsid w:val="00EF42D9"/>
    <w:rsid w:val="00F24613"/>
    <w:rsid w:val="00F4645C"/>
    <w:rsid w:val="00F51E91"/>
    <w:rsid w:val="00F55FA7"/>
    <w:rsid w:val="00F854F8"/>
    <w:rsid w:val="00F95211"/>
    <w:rsid w:val="00FA2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A3C"/>
    <w:rPr>
      <w:rFonts w:ascii="Sylfaen" w:eastAsia="Calibri" w:hAnsi="Sylfae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6A3C"/>
    <w:pPr>
      <w:spacing w:after="0" w:line="240" w:lineRule="auto"/>
    </w:pPr>
    <w:rPr>
      <w:rFonts w:eastAsiaTheme="minorEastAsia"/>
      <w:lang w:eastAsia="ru-RU"/>
    </w:rPr>
  </w:style>
  <w:style w:type="paragraph" w:styleId="a4">
    <w:name w:val="Balloon Text"/>
    <w:basedOn w:val="a"/>
    <w:link w:val="a5"/>
    <w:uiPriority w:val="99"/>
    <w:semiHidden/>
    <w:unhideWhenUsed/>
    <w:rsid w:val="005311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11D6"/>
    <w:rPr>
      <w:rFonts w:ascii="Segoe UI" w:eastAsia="Calibri" w:hAnsi="Segoe UI" w:cs="Segoe UI"/>
      <w:sz w:val="18"/>
      <w:szCs w:val="18"/>
      <w:lang w:eastAsia="ru-RU"/>
    </w:rPr>
  </w:style>
  <w:style w:type="paragraph" w:styleId="a6">
    <w:name w:val="List Paragraph"/>
    <w:basedOn w:val="a"/>
    <w:uiPriority w:val="34"/>
    <w:qFormat/>
    <w:rsid w:val="000658AD"/>
    <w:pPr>
      <w:ind w:left="720"/>
      <w:contextualSpacing/>
    </w:pPr>
  </w:style>
  <w:style w:type="table" w:styleId="a7">
    <w:name w:val="Table Grid"/>
    <w:basedOn w:val="a1"/>
    <w:uiPriority w:val="39"/>
    <w:rsid w:val="00BA3E3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A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7"/>
      <w:szCs w:val="17"/>
      <w:lang w:val="x-none" w:eastAsia="x-none"/>
    </w:rPr>
  </w:style>
  <w:style w:type="character" w:customStyle="1" w:styleId="HTML0">
    <w:name w:val="Стандартный HTML Знак"/>
    <w:basedOn w:val="a0"/>
    <w:link w:val="HTML"/>
    <w:rsid w:val="00BA3E3A"/>
    <w:rPr>
      <w:rFonts w:ascii="Courier New" w:eastAsia="Times New Roman" w:hAnsi="Courier New" w:cs="Times New Roman"/>
      <w:sz w:val="17"/>
      <w:szCs w:val="17"/>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A3C"/>
    <w:rPr>
      <w:rFonts w:ascii="Sylfaen" w:eastAsia="Calibri" w:hAnsi="Sylfae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6A3C"/>
    <w:pPr>
      <w:spacing w:after="0" w:line="240" w:lineRule="auto"/>
    </w:pPr>
    <w:rPr>
      <w:rFonts w:eastAsiaTheme="minorEastAsia"/>
      <w:lang w:eastAsia="ru-RU"/>
    </w:rPr>
  </w:style>
  <w:style w:type="paragraph" w:styleId="a4">
    <w:name w:val="Balloon Text"/>
    <w:basedOn w:val="a"/>
    <w:link w:val="a5"/>
    <w:uiPriority w:val="99"/>
    <w:semiHidden/>
    <w:unhideWhenUsed/>
    <w:rsid w:val="005311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11D6"/>
    <w:rPr>
      <w:rFonts w:ascii="Segoe UI" w:eastAsia="Calibri" w:hAnsi="Segoe UI" w:cs="Segoe UI"/>
      <w:sz w:val="18"/>
      <w:szCs w:val="18"/>
      <w:lang w:eastAsia="ru-RU"/>
    </w:rPr>
  </w:style>
  <w:style w:type="paragraph" w:styleId="a6">
    <w:name w:val="List Paragraph"/>
    <w:basedOn w:val="a"/>
    <w:uiPriority w:val="34"/>
    <w:qFormat/>
    <w:rsid w:val="000658AD"/>
    <w:pPr>
      <w:ind w:left="720"/>
      <w:contextualSpacing/>
    </w:pPr>
  </w:style>
  <w:style w:type="table" w:styleId="a7">
    <w:name w:val="Table Grid"/>
    <w:basedOn w:val="a1"/>
    <w:uiPriority w:val="39"/>
    <w:rsid w:val="00BA3E3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A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7"/>
      <w:szCs w:val="17"/>
      <w:lang w:val="x-none" w:eastAsia="x-none"/>
    </w:rPr>
  </w:style>
  <w:style w:type="character" w:customStyle="1" w:styleId="HTML0">
    <w:name w:val="Стандартный HTML Знак"/>
    <w:basedOn w:val="a0"/>
    <w:link w:val="HTML"/>
    <w:rsid w:val="00BA3E3A"/>
    <w:rPr>
      <w:rFonts w:ascii="Courier New" w:eastAsia="Times New Roman" w:hAnsi="Courier New" w:cs="Times New Roman"/>
      <w:sz w:val="17"/>
      <w:szCs w:val="1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1207">
      <w:bodyDiv w:val="1"/>
      <w:marLeft w:val="0"/>
      <w:marRight w:val="0"/>
      <w:marTop w:val="0"/>
      <w:marBottom w:val="0"/>
      <w:divBdr>
        <w:top w:val="none" w:sz="0" w:space="0" w:color="auto"/>
        <w:left w:val="none" w:sz="0" w:space="0" w:color="auto"/>
        <w:bottom w:val="none" w:sz="0" w:space="0" w:color="auto"/>
        <w:right w:val="none" w:sz="0" w:space="0" w:color="auto"/>
      </w:divBdr>
    </w:div>
    <w:div w:id="771701872">
      <w:bodyDiv w:val="1"/>
      <w:marLeft w:val="0"/>
      <w:marRight w:val="0"/>
      <w:marTop w:val="0"/>
      <w:marBottom w:val="0"/>
      <w:divBdr>
        <w:top w:val="none" w:sz="0" w:space="0" w:color="auto"/>
        <w:left w:val="none" w:sz="0" w:space="0" w:color="auto"/>
        <w:bottom w:val="none" w:sz="0" w:space="0" w:color="auto"/>
        <w:right w:val="none" w:sz="0" w:space="0" w:color="auto"/>
      </w:divBdr>
    </w:div>
    <w:div w:id="210228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62B9-FA8B-4977-A23F-72E55594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10199</Words>
  <Characters>5814</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Робітник 2</dc:creator>
  <cp:lastModifiedBy>user</cp:lastModifiedBy>
  <cp:revision>2</cp:revision>
  <cp:lastPrinted>2019-01-10T17:44:00Z</cp:lastPrinted>
  <dcterms:created xsi:type="dcterms:W3CDTF">2023-12-11T20:50:00Z</dcterms:created>
  <dcterms:modified xsi:type="dcterms:W3CDTF">2023-12-11T20:50:00Z</dcterms:modified>
</cp:coreProperties>
</file>