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bCs/>
          <w:i w:val="false"/>
          <w:iCs w:val="false"/>
          <w:sz w:val="24"/>
          <w:szCs w:val="24"/>
          <w:lang w:val="uk-UA" w:eastAsia="ar-SA"/>
        </w:rPr>
        <w:t>:</w:t>
      </w:r>
    </w:p>
    <w:tbl>
      <w:tblPr>
        <w:tblW w:w="10545" w:type="dxa"/>
        <w:jc w:val="start"/>
        <w:tblInd w:w="0" w:type="dxa"/>
        <w:tblLayout w:type="fixed"/>
        <w:tblCellMar>
          <w:top w:w="55" w:type="dxa"/>
          <w:start w:w="55" w:type="dxa"/>
          <w:bottom w:w="55" w:type="dxa"/>
          <w:end w:w="55" w:type="dxa"/>
        </w:tblCellMar>
      </w:tblPr>
      <w:tblGrid>
        <w:gridCol w:w="515"/>
        <w:gridCol w:w="7195"/>
        <w:gridCol w:w="2835"/>
      </w:tblGrid>
      <w:tr>
        <w:trPr/>
        <w:tc>
          <w:tcPr>
            <w:tcW w:w="515" w:type="dxa"/>
            <w:tcBorders>
              <w:top w:val="single" w:sz="2" w:space="0" w:color="000000"/>
              <w:start w:val="single" w:sz="2" w:space="0" w:color="000000"/>
              <w:bottom w:val="single" w:sz="2" w:space="0" w:color="000000"/>
            </w:tcBorders>
          </w:tcPr>
          <w:p>
            <w:pPr>
              <w:pStyle w:val="Style16"/>
              <w:jc w:val="center"/>
              <w:rPr/>
            </w:pPr>
            <w:r>
              <w:rPr/>
              <w:t xml:space="preserve">№ </w:t>
            </w:r>
            <w:r>
              <w:rPr>
                <w:lang w:val="uk-UA"/>
              </w:rPr>
              <w:t>п/п</w:t>
            </w:r>
          </w:p>
        </w:tc>
        <w:tc>
          <w:tcPr>
            <w:tcW w:w="7195" w:type="dxa"/>
            <w:tcBorders>
              <w:top w:val="single" w:sz="2" w:space="0" w:color="000000"/>
              <w:start w:val="single" w:sz="2" w:space="0" w:color="000000"/>
              <w:bottom w:val="single" w:sz="2" w:space="0" w:color="000000"/>
            </w:tcBorders>
            <w:vAlign w:val="center"/>
          </w:tcPr>
          <w:p>
            <w:pPr>
              <w:pStyle w:val="Style16"/>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16"/>
              <w:jc w:val="center"/>
              <w:rPr>
                <w:lang w:val="uk-UA"/>
              </w:rPr>
            </w:pPr>
            <w:r>
              <w:rPr>
                <w:lang w:val="uk-UA"/>
              </w:rPr>
              <w:t>Кількість (діто/днів)</w:t>
            </w:r>
          </w:p>
        </w:tc>
      </w:tr>
      <w:tr>
        <w:trPr/>
        <w:tc>
          <w:tcPr>
            <w:tcW w:w="515" w:type="dxa"/>
            <w:tcBorders>
              <w:start w:val="single" w:sz="2" w:space="0" w:color="000000"/>
              <w:bottom w:val="single" w:sz="2" w:space="0" w:color="000000"/>
            </w:tcBorders>
          </w:tcPr>
          <w:p>
            <w:pPr>
              <w:pStyle w:val="Style16"/>
              <w:jc w:val="center"/>
              <w:rPr/>
            </w:pPr>
            <w:r>
              <w:rPr/>
              <w:t>1).</w:t>
            </w:r>
          </w:p>
        </w:tc>
        <w:tc>
          <w:tcPr>
            <w:tcW w:w="7195" w:type="dxa"/>
            <w:tcBorders>
              <w:start w:val="single" w:sz="2" w:space="0" w:color="000000"/>
              <w:bottom w:val="single" w:sz="2" w:space="0" w:color="000000"/>
            </w:tcBorders>
          </w:tcPr>
          <w:p>
            <w:pPr>
              <w:pStyle w:val="Style16"/>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490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2).</w:t>
            </w:r>
          </w:p>
        </w:tc>
        <w:tc>
          <w:tcPr>
            <w:tcW w:w="7195" w:type="dxa"/>
            <w:tcBorders>
              <w:start w:val="single" w:sz="2" w:space="0" w:color="000000"/>
              <w:bottom w:val="single" w:sz="2" w:space="0" w:color="000000"/>
            </w:tcBorders>
          </w:tcPr>
          <w:p>
            <w:pPr>
              <w:pStyle w:val="Style16"/>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300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3</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4 600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4</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2 600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5</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1 800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3 рази на день </w:t>
      </w:r>
      <w:r>
        <w:rPr>
          <w:rFonts w:eastAsia="Times New Roman" w:cs="Times New Roman" w:ascii="Times New Roman" w:hAnsi="Times New Roman"/>
          <w:b w:val="false"/>
          <w:bCs w:val="false"/>
          <w:color w:val="000000"/>
          <w:sz w:val="24"/>
          <w:szCs w:val="24"/>
          <w:lang w:val="uk-UA" w:eastAsia="ar-SA" w:bidi="ar-SA"/>
        </w:rPr>
        <w:t xml:space="preserve">для </w:t>
      </w:r>
      <w:r>
        <w:rPr>
          <w:rFonts w:eastAsia="Times New Roman" w:cs="Times New Roman" w:ascii="Times New Roman" w:hAnsi="Times New Roman"/>
          <w:b w:val="false"/>
          <w:bCs w:val="false"/>
          <w:color w:val="000000"/>
          <w:sz w:val="24"/>
          <w:szCs w:val="24"/>
          <w:lang w:val="uk-UA" w:eastAsia="ar-SA" w:bidi="ar-SA"/>
        </w:rPr>
        <w:t xml:space="preserve">вихованців закладів дошкільної освіти </w:t>
      </w:r>
      <w:r>
        <w:rPr>
          <w:rFonts w:eastAsia="Times New Roman" w:cs="Times New Roman" w:ascii="Times New Roman" w:hAnsi="Times New Roman"/>
          <w:b w:val="false"/>
          <w:bCs w:val="false"/>
          <w:color w:val="000000"/>
          <w:sz w:val="24"/>
          <w:szCs w:val="24"/>
          <w:lang w:val="uk-UA" w:eastAsia="ar-SA" w:bidi="ar-SA"/>
        </w:rPr>
        <w:t>та 1 раз на день для учнів закладів загальної середньої освіти.</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Очікувана вартість не повинна перевищувати грошову норму вартості, встановлену рішенням Татарбунарської міської ради Одеської області:</w:t>
      </w:r>
    </w:p>
    <w:p>
      <w:pPr>
        <w:pStyle w:val="Normal"/>
        <w:widowControl w:val="false"/>
        <w:spacing w:lineRule="auto" w:line="360" w:before="0" w:after="0"/>
        <w:rPr/>
      </w:pPr>
      <w:r>
        <w:rPr>
          <w:rFonts w:cs="Times New Roman" w:ascii="Times New Roman" w:hAnsi="Times New Roman"/>
          <w:sz w:val="24"/>
          <w:szCs w:val="24"/>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закладів дошкільної освіти: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2 (двох) до 4 (чотирьох) років – 143,00 грн. на одну дитину в день за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4 (чотирьох) до 6 (шести) років – 167,00 грн. на одну дитину в день за надання послуг з гарячого харчування.</w:t>
      </w:r>
    </w:p>
    <w:p>
      <w:pPr>
        <w:pStyle w:val="Normal"/>
        <w:widowControl w:val="false"/>
        <w:spacing w:lineRule="auto" w:line="360" w:before="0" w:after="0"/>
        <w:rPr/>
      </w:pPr>
      <w:r>
        <w:rPr>
          <w:rFonts w:ascii="Times New Roman" w:hAnsi="Times New Roman"/>
          <w:sz w:val="24"/>
          <w:szCs w:val="24"/>
          <w:lang w:val="uk-UA"/>
        </w:rPr>
        <w:t xml:space="preserve">- </w:t>
      </w:r>
      <w:r>
        <w:rPr>
          <w:rFonts w:ascii="Times New Roman" w:hAnsi="Times New Roman"/>
          <w:sz w:val="24"/>
          <w:szCs w:val="24"/>
          <w:lang w:val="uk-UA"/>
        </w:rPr>
        <w:t xml:space="preserve">для послуг з організації гарячого харчування </w:t>
      </w:r>
      <w:r>
        <w:rPr>
          <w:rFonts w:ascii="Times New Roman" w:hAnsi="Times New Roman"/>
          <w:sz w:val="24"/>
          <w:szCs w:val="24"/>
          <w:lang w:val="uk-UA"/>
        </w:rPr>
        <w:t>учнів</w:t>
      </w:r>
      <w:r>
        <w:rPr>
          <w:rFonts w:ascii="Times New Roman" w:hAnsi="Times New Roman"/>
          <w:sz w:val="24"/>
          <w:szCs w:val="24"/>
          <w:lang w:val="uk-UA"/>
        </w:rPr>
        <w:t xml:space="preserve"> закладів загальної середньої освіти: </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Кількість учнів </w:t>
      </w:r>
      <w:r>
        <w:rPr>
          <w:rFonts w:ascii="Times New Roman" w:hAnsi="Times New Roman"/>
          <w:sz w:val="24"/>
          <w:szCs w:val="24"/>
          <w:lang w:val="uk-UA"/>
        </w:rPr>
        <w:t xml:space="preserve">та вихованців </w:t>
      </w:r>
      <w:r>
        <w:rPr>
          <w:rFonts w:ascii="Times New Roman" w:hAnsi="Times New Roman"/>
          <w:sz w:val="24"/>
          <w:szCs w:val="24"/>
          <w:lang w:val="uk-UA"/>
        </w:rPr>
        <w:t xml:space="preserve">може змінюватися  відповідно до фактичного відвідування.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1.4. Учасник має врахувати та суворо дотримуватися графіків харчування учнів та вихованців визначених керівниками </w:t>
      </w:r>
      <w:r>
        <w:rPr>
          <w:rFonts w:ascii="Times New Roman" w:hAnsi="Times New Roman"/>
          <w:sz w:val="24"/>
          <w:szCs w:val="24"/>
          <w:lang w:val="uk-UA"/>
        </w:rPr>
        <w:t xml:space="preserve">даних </w:t>
      </w:r>
      <w:r>
        <w:rPr>
          <w:rFonts w:ascii="Times New Roman" w:hAnsi="Times New Roman"/>
          <w:sz w:val="24"/>
          <w:szCs w:val="24"/>
          <w:lang w:val="uk-UA"/>
        </w:rPr>
        <w:t xml:space="preserve">закладів освіти.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1.5. Учасник повинен забезпечити необхідну кількість штатного персоналу для вчасного та якісного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1.6. Продукти, які використовуються для організації харчування учнів та вихованців,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pPr>
        <w:pStyle w:val="Normal"/>
        <w:widowControl w:val="false"/>
        <w:spacing w:lineRule="auto" w:line="360" w:before="0" w:after="0"/>
        <w:jc w:val="both"/>
        <w:rPr/>
      </w:pPr>
      <w:r>
        <w:rPr>
          <w:rFonts w:ascii="Times New Roman" w:hAnsi="Times New Roman"/>
          <w:sz w:val="24"/>
          <w:szCs w:val="24"/>
          <w:lang w:val="uk-UA"/>
        </w:rPr>
        <w:t xml:space="preserve">1.7. Учасник повинен щодня проводити бракераж готових страв за участю медичного працівника </w:t>
      </w:r>
      <w:r>
        <w:rPr>
          <w:rFonts w:ascii="Times New Roman" w:hAnsi="Times New Roman"/>
          <w:sz w:val="24"/>
          <w:szCs w:val="24"/>
          <w:lang w:val="uk-UA"/>
        </w:rPr>
        <w:t>закладу</w:t>
      </w:r>
      <w:r>
        <w:rPr>
          <w:rFonts w:ascii="Times New Roman" w:hAnsi="Times New Roman"/>
          <w:sz w:val="24"/>
          <w:szCs w:val="24"/>
          <w:lang w:val="uk-UA"/>
        </w:rPr>
        <w:t xml:space="preserve"> чи іншої визначеної керівником закладу відповідальною за проведення бракеражу особою/ами або бракеражною комісією.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1.8. Кількість учнів та вихованців на харчування за потреби може узгоджуватися замовником кожного дня. На вимогу замовника,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1.9. Учасник повинен надати замовнику послуги, якість яких відповідає наступним нормативним документам: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Закон України «Про дитяче харчування» від 14.09.2006 № 142-V</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Порядку надання послуг з харчування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Закону України «Про основні принципи та вимоги до безпечності та якості харчових продуктів» від 23.12.1997 № 771/97-ВР.</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іншим відповідним та діючим нормативно-правовим актам та стандартам (за навності).</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1.10.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11</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12</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 xml:space="preserve">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hanging="0" w:start="0" w:end="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1.13. Постачання гарячих страв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Держпродспоживслужби, або іншим органом, який має відповідні повноваження щодо погодження меню для харчування учнів та вихованців закладів освіти, щодо кожної їх категорії.</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firstLine="284" w:start="0" w:end="0"/>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учнів та вихованців закладів освіти,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(учнів та вихованців закладів загальної середньої освіти) Виконавцем, спільно з медичним працівником закладів освіти, складається дієтичне двотижневе меню, яке затверджується керівником відповідного закладу освіти Замовника та у разі потреби погоджується з територіальним органом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з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відповідного закладу освіти Виконавцем).</w:t>
      </w:r>
    </w:p>
    <w:p>
      <w:pPr>
        <w:pStyle w:val="NoSpacing"/>
        <w:spacing w:lineRule="auto" w:line="360"/>
        <w:ind w:firstLine="284" w:start="0" w:end="0"/>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Постанови Кабінету Міністрів України від 24 березня 2021 року №305 "Норми харчування у закладах освіти та дитячих закладах оздоровлення та відпочинку" та/або іншими відповідними діючими нормативно-правовими актами, які були прийняті на їх заміну.</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firstLine="720" w:start="0" w:end="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Spacing"/>
        <w:spacing w:lineRule="auto" w:line="360"/>
        <w:ind w:firstLine="720" w:start="0" w:end="0"/>
        <w:jc w:val="both"/>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Виконавець має право виготовляти та реалізовувати готові страви власного виробництва, асортимент яких погоджено з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управлінням Держпродспоживслужби, </w:t>
      </w:r>
      <w:r>
        <w:rPr>
          <w:rFonts w:eastAsia="Times New Roman" w:cs="Times New Roman" w:ascii="Times New Roman" w:hAnsi="Times New Roman"/>
          <w:b w:val="false"/>
          <w:bCs w:val="false"/>
          <w:i w:val="false"/>
          <w:iCs w:val="false"/>
          <w:color w:val="auto"/>
          <w:kern w:val="0"/>
          <w:sz w:val="24"/>
          <w:szCs w:val="24"/>
          <w:u w:val="none"/>
          <w:lang w:val="uk-UA" w:eastAsia="ru-RU" w:bidi="ar-SA"/>
        </w:rPr>
        <w:t>працівникам закладу та за потреби учнів та вихованців закладів освіти Замовника.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14</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15</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1.1</w:t>
      </w:r>
      <w:r>
        <w:rPr>
          <w:rFonts w:eastAsia="Times New Roman" w:cs="Times New Roman" w:ascii="Times New Roman" w:hAnsi="Times New Roman"/>
          <w:b w:val="false"/>
          <w:bCs w:val="false"/>
          <w:i w:val="false"/>
          <w:iCs w:val="false"/>
          <w:color w:val="000000"/>
          <w:kern w:val="0"/>
          <w:sz w:val="24"/>
          <w:szCs w:val="24"/>
          <w:u w:val="none"/>
          <w:lang w:val="uk-UA" w:eastAsia="ar-SA" w:bidi="ar-SA"/>
        </w:rPr>
        <w:t>6</w:t>
      </w:r>
      <w:r>
        <w:rPr>
          <w:rFonts w:eastAsia="Times New Roman" w:cs="Times New Roman"/>
          <w:b w:val="false"/>
          <w:bCs w:val="false"/>
          <w:i w:val="false"/>
          <w:iCs w:val="false"/>
          <w:color w:val="000000"/>
          <w:kern w:val="0"/>
          <w:sz w:val="24"/>
          <w:szCs w:val="24"/>
          <w:u w:val="none"/>
          <w:lang w:val="uk-UA" w:eastAsia="ar-SA" w:bidi="ar-SA"/>
        </w:rPr>
        <w:t xml:space="preserve">.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hanging="0" w:start="0" w:end="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по 31 грудня 2024 р.</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 xml:space="preserve">3. Місце надання послуг: </w:t>
      </w: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загальної середньої освіти Татарбунарської міської ради Одеської області, згідно нижчезазначеного переліку:</w:t>
      </w:r>
    </w:p>
    <w:tbl>
      <w:tblPr>
        <w:tblW w:w="10391" w:type="dxa"/>
        <w:jc w:val="center"/>
        <w:tblInd w:w="0" w:type="dxa"/>
        <w:tblLayout w:type="fixed"/>
        <w:tblCellMar>
          <w:top w:w="0" w:type="dxa"/>
          <w:start w:w="108" w:type="dxa"/>
          <w:bottom w:w="0" w:type="dxa"/>
          <w:end w:w="108" w:type="dxa"/>
        </w:tblCellMar>
      </w:tblPr>
      <w:tblGrid>
        <w:gridCol w:w="520"/>
        <w:gridCol w:w="4802"/>
        <w:gridCol w:w="5069"/>
      </w:tblGrid>
      <w:tr>
        <w:trPr>
          <w:trHeight w:val="636"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w:t>
            </w:r>
          </w:p>
        </w:tc>
        <w:tc>
          <w:tcPr>
            <w:tcW w:w="48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550"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1</w:t>
            </w:r>
          </w:p>
        </w:tc>
        <w:tc>
          <w:tcPr>
            <w:tcW w:w="48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«Дзвіночок» Татарбунарської міської ради Одеської області</w:t>
            </w:r>
          </w:p>
        </w:tc>
        <w:tc>
          <w:tcPr>
            <w:tcW w:w="5069"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rPr>
            </w:pPr>
            <w:r>
              <w:rPr>
                <w:rFonts w:ascii="Times New Roman" w:hAnsi="Times New Roman"/>
                <w:lang w:eastAsia="ru-RU"/>
              </w:rPr>
              <w:t xml:space="preserve">68121, Одеська область,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Спаське, вулиця Комарова, 2</w:t>
            </w:r>
          </w:p>
        </w:tc>
      </w:tr>
      <w:tr>
        <w:trPr>
          <w:trHeight w:val="598"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2</w:t>
            </w:r>
          </w:p>
        </w:tc>
        <w:tc>
          <w:tcPr>
            <w:tcW w:w="48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 xml:space="preserve">Дельжилерський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84"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3</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lang w:val="uk-UA"/>
              </w:rPr>
            </w:pPr>
            <w:r>
              <w:rPr>
                <w:rFonts w:ascii="Times New Roman" w:hAnsi="Times New Roman"/>
                <w:color w:val="000000"/>
                <w:lang w:val="uk-UA" w:eastAsia="ru-RU"/>
              </w:rPr>
              <w:t xml:space="preserve">Білоліський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98"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4</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rPr>
            </w:pPr>
            <w:r>
              <w:rPr>
                <w:rFonts w:ascii="Times New Roman" w:hAnsi="Times New Roman"/>
                <w:color w:val="000000"/>
                <w:lang w:eastAsia="ru-RU"/>
              </w:rPr>
              <w:t xml:space="preserve">Борисівський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84"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5</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rPr>
            </w:pPr>
            <w:r>
              <w:rPr>
                <w:rFonts w:ascii="Times New Roman" w:hAnsi="Times New Roman"/>
                <w:color w:val="000000"/>
                <w:lang w:eastAsia="ru-RU"/>
              </w:rPr>
              <w:t xml:space="preserve">Глибоківський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98"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6</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rPr>
            </w:pPr>
            <w:r>
              <w:rPr>
                <w:rFonts w:ascii="Times New Roman" w:hAnsi="Times New Roman"/>
                <w:color w:val="000000"/>
                <w:lang w:eastAsia="ru-RU"/>
              </w:rPr>
              <w:t xml:space="preserve">Нерушайський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84"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7</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lang w:val="uk-UA"/>
              </w:rPr>
            </w:pPr>
            <w:r>
              <w:rPr>
                <w:rFonts w:ascii="Times New Roman" w:hAnsi="Times New Roman"/>
                <w:color w:val="000000"/>
                <w:lang w:val="uk-UA" w:eastAsia="ru-RU"/>
              </w:rPr>
              <w:t xml:space="preserve">Спаська гімназія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bl>
    <w:p>
      <w:pPr>
        <w:pStyle w:val="Normal"/>
        <w:widowControl/>
        <w:suppressAutoHyphens w:val="true"/>
        <w:bidi w:val="0"/>
        <w:spacing w:lineRule="auto" w:line="360" w:before="0" w:after="0"/>
        <w:ind w:hanging="0" w:start="0" w:end="0"/>
        <w:jc w:val="both"/>
        <w:rPr>
          <w:rFonts w:ascii="Times New Roman" w:hAnsi="Times New Roman"/>
          <w:b w:val="false"/>
          <w:bCs w:val="false"/>
          <w:lang w:eastAsia="uk-UA"/>
        </w:rPr>
      </w:pPr>
      <w:r>
        <w:rPr>
          <w:rFonts w:ascii="Times New Roman" w:hAnsi="Times New Roman"/>
          <w:b w:val="false"/>
          <w:bCs w:val="false"/>
          <w:lang w:eastAsia="uk-UA"/>
        </w:rPr>
      </w:r>
    </w:p>
    <w:p>
      <w:pPr>
        <w:pStyle w:val="Normal"/>
        <w:suppressAutoHyphens w:val="true"/>
        <w:spacing w:lineRule="auto" w:line="360" w:before="0" w:after="0"/>
        <w:ind w:hanging="0" w:start="17" w:end="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hanging="0" w:start="17" w:end="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hanging="0" w:start="0" w:end="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hanging="0" w:start="0" w:end="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hanging="0" w:start="0" w:end="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(в довільній формі)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hanging="0" w:start="0" w:end="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Гарантійний лист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(в довільній формі) </w:t>
      </w:r>
      <w:r>
        <w:rPr>
          <w:rFonts w:eastAsia="Times New Roman" w:cs="Times New Roman" w:ascii="Times New Roman" w:hAnsi="Times New Roman"/>
          <w:b w:val="false"/>
          <w:bCs w:val="false"/>
          <w:i w:val="false"/>
          <w:iCs w:val="false"/>
          <w:color w:val="00000A"/>
          <w:sz w:val="24"/>
          <w:szCs w:val="24"/>
          <w:u w:val="none"/>
          <w:lang w:val="uk-UA" w:eastAsia="uk-UA" w:bidi="ar-SA"/>
        </w:rPr>
        <w:t>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Гарантійний лист (в довільній формі) від учасника процедури закупівлі,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про те</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 xml:space="preserve">не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про те</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3</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2"/>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tru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fals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fals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LibreOffice/7.6.5.2$Windows_X86_64 LibreOffice_project/38d5f62f85355c192ef5f1dd47c5c0c0c6d6598b</Application>
  <AppVersion>15.0000</AppVersion>
  <Pages>7</Pages>
  <Words>2184</Words>
  <Characters>14973</Characters>
  <CharactersWithSpaces>17109</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2024-04-26T11:48:02Z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