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5AB1" w:rsidRDefault="007F54C2">
      <w:pPr>
        <w:pageBreakBefore/>
        <w:spacing w:line="240" w:lineRule="auto"/>
        <w:ind w:left="-141" w:right="-2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 до тендерної документації</w:t>
      </w:r>
    </w:p>
    <w:p w14:paraId="00000002" w14:textId="77777777" w:rsidR="00C75AB1" w:rsidRDefault="00C75AB1">
      <w:pPr>
        <w:tabs>
          <w:tab w:val="left" w:pos="6030"/>
          <w:tab w:val="right" w:pos="14570"/>
        </w:tabs>
        <w:spacing w:line="240" w:lineRule="auto"/>
        <w:ind w:left="-141" w:right="-276"/>
        <w:jc w:val="center"/>
        <w:rPr>
          <w:rFonts w:ascii="Times New Roman" w:eastAsia="Times New Roman" w:hAnsi="Times New Roman" w:cs="Times New Roman"/>
          <w:b/>
          <w:sz w:val="24"/>
          <w:szCs w:val="24"/>
        </w:rPr>
      </w:pPr>
    </w:p>
    <w:p w14:paraId="00000003" w14:textId="77777777" w:rsidR="00C75AB1" w:rsidRDefault="00C75AB1">
      <w:pPr>
        <w:tabs>
          <w:tab w:val="left" w:pos="6030"/>
          <w:tab w:val="right" w:pos="14570"/>
        </w:tabs>
        <w:spacing w:line="240" w:lineRule="auto"/>
        <w:ind w:left="-141" w:right="-276"/>
        <w:jc w:val="center"/>
        <w:rPr>
          <w:rFonts w:ascii="Times New Roman" w:eastAsia="Times New Roman" w:hAnsi="Times New Roman" w:cs="Times New Roman"/>
          <w:b/>
          <w:sz w:val="24"/>
          <w:szCs w:val="24"/>
        </w:rPr>
      </w:pPr>
    </w:p>
    <w:p w14:paraId="00000004" w14:textId="77777777" w:rsidR="00C75AB1" w:rsidRDefault="007F54C2">
      <w:pPr>
        <w:tabs>
          <w:tab w:val="left" w:pos="6030"/>
          <w:tab w:val="right" w:pos="14570"/>
        </w:tabs>
        <w:spacing w:line="240" w:lineRule="auto"/>
        <w:ind w:left="-141" w:right="-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w:t>
      </w:r>
    </w:p>
    <w:p w14:paraId="00000005" w14:textId="77777777" w:rsidR="00C75AB1" w:rsidRDefault="007F54C2">
      <w:pPr>
        <w:tabs>
          <w:tab w:val="left" w:pos="284"/>
          <w:tab w:val="left" w:pos="426"/>
        </w:tabs>
        <w:spacing w:line="240" w:lineRule="auto"/>
        <w:ind w:left="-141" w:right="-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необхідні технічні, якісні та кількісні характеристики предмета закупівлі та технічна специфікація до предмета закупівлі: </w:t>
      </w:r>
    </w:p>
    <w:p w14:paraId="6B7B85ED" w14:textId="77777777" w:rsidR="00235955" w:rsidRDefault="00235955">
      <w:pPr>
        <w:tabs>
          <w:tab w:val="left" w:pos="284"/>
          <w:tab w:val="left" w:pos="426"/>
        </w:tabs>
        <w:spacing w:line="240" w:lineRule="auto"/>
        <w:ind w:left="-141" w:right="-276"/>
        <w:jc w:val="center"/>
        <w:rPr>
          <w:rFonts w:ascii="Times New Roman" w:eastAsia="Times New Roman" w:hAnsi="Times New Roman" w:cs="Times New Roman"/>
          <w:b/>
          <w:sz w:val="24"/>
          <w:szCs w:val="24"/>
        </w:rPr>
      </w:pPr>
      <w:r w:rsidRPr="00235955">
        <w:rPr>
          <w:rFonts w:ascii="Times New Roman" w:eastAsia="Times New Roman" w:hAnsi="Times New Roman" w:cs="Times New Roman"/>
          <w:b/>
          <w:sz w:val="24"/>
          <w:szCs w:val="24"/>
        </w:rPr>
        <w:t xml:space="preserve">Послуги з перевезення учнів та педагогічних працівників </w:t>
      </w:r>
    </w:p>
    <w:p w14:paraId="00000006" w14:textId="10ECE78B" w:rsidR="00C75AB1" w:rsidRDefault="007F54C2">
      <w:pPr>
        <w:tabs>
          <w:tab w:val="left" w:pos="284"/>
          <w:tab w:val="left" w:pos="426"/>
        </w:tabs>
        <w:spacing w:line="240" w:lineRule="auto"/>
        <w:ind w:left="-141" w:right="-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ДК 021:2015 - 60140000-1 Нерегулярні пасажирські перевезення </w:t>
      </w:r>
    </w:p>
    <w:p w14:paraId="00000007" w14:textId="77777777" w:rsidR="00C75AB1" w:rsidRDefault="00C75AB1">
      <w:pPr>
        <w:widowControl w:val="0"/>
        <w:spacing w:line="240" w:lineRule="auto"/>
        <w:ind w:left="-141" w:right="-276"/>
        <w:jc w:val="center"/>
        <w:rPr>
          <w:rFonts w:ascii="Times New Roman" w:eastAsia="Times New Roman" w:hAnsi="Times New Roman" w:cs="Times New Roman"/>
          <w:color w:val="000000"/>
          <w:sz w:val="24"/>
          <w:szCs w:val="24"/>
        </w:rPr>
      </w:pPr>
    </w:p>
    <w:p w14:paraId="00000008" w14:textId="7F78E86F" w:rsidR="00C75AB1" w:rsidRDefault="007F54C2">
      <w:pPr>
        <w:tabs>
          <w:tab w:val="left" w:pos="1134"/>
        </w:tabs>
        <w:spacing w:line="240" w:lineRule="auto"/>
        <w:ind w:right="-27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перевезення </w:t>
      </w:r>
      <w:r w:rsidR="00235955">
        <w:rPr>
          <w:rFonts w:ascii="Times New Roman" w:eastAsia="Times New Roman" w:hAnsi="Times New Roman" w:cs="Times New Roman"/>
          <w:sz w:val="24"/>
          <w:szCs w:val="24"/>
        </w:rPr>
        <w:t>учнів та вчителів</w:t>
      </w:r>
      <w:r>
        <w:rPr>
          <w:rFonts w:ascii="Times New Roman" w:eastAsia="Times New Roman" w:hAnsi="Times New Roman" w:cs="Times New Roman"/>
          <w:sz w:val="24"/>
          <w:szCs w:val="24"/>
        </w:rPr>
        <w:t xml:space="preserve"> у кількості 112 осіб </w:t>
      </w:r>
      <w:r w:rsidR="00235955">
        <w:rPr>
          <w:rFonts w:ascii="Times New Roman" w:eastAsia="Times New Roman" w:hAnsi="Times New Roman" w:cs="Times New Roman"/>
          <w:sz w:val="24"/>
          <w:szCs w:val="24"/>
        </w:rPr>
        <w:t>двома транспортними засобами з водіями</w:t>
      </w:r>
      <w:r w:rsidR="00013633">
        <w:rPr>
          <w:rFonts w:ascii="Times New Roman" w:eastAsia="Times New Roman" w:hAnsi="Times New Roman" w:cs="Times New Roman"/>
          <w:sz w:val="24"/>
          <w:szCs w:val="24"/>
        </w:rPr>
        <w:t xml:space="preserve"> протягом навчального року у 2024 році.</w:t>
      </w:r>
      <w:bookmarkStart w:id="0" w:name="_GoBack"/>
      <w:bookmarkEnd w:id="0"/>
    </w:p>
    <w:p w14:paraId="00000009" w14:textId="55C7BC68" w:rsidR="00C75AB1" w:rsidRDefault="00235955">
      <w:pPr>
        <w:tabs>
          <w:tab w:val="left" w:pos="1134"/>
        </w:tabs>
        <w:spacing w:line="240" w:lineRule="auto"/>
        <w:ind w:right="-27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надання послуг: 2 послуги</w:t>
      </w:r>
      <w:r w:rsidR="007F54C2">
        <w:rPr>
          <w:rFonts w:ascii="Times New Roman" w:eastAsia="Times New Roman" w:hAnsi="Times New Roman" w:cs="Times New Roman"/>
          <w:sz w:val="24"/>
          <w:szCs w:val="24"/>
        </w:rPr>
        <w:t>.</w:t>
      </w:r>
    </w:p>
    <w:p w14:paraId="0000000A" w14:textId="0933A6F2" w:rsidR="00C75AB1" w:rsidRDefault="007F54C2">
      <w:pPr>
        <w:tabs>
          <w:tab w:val="left" w:pos="1134"/>
        </w:tabs>
        <w:spacing w:line="240" w:lineRule="auto"/>
        <w:ind w:right="-27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Середньоденний пробіг </w:t>
      </w:r>
      <w:r w:rsidR="00235955">
        <w:rPr>
          <w:rFonts w:ascii="Times New Roman" w:eastAsia="Times New Roman" w:hAnsi="Times New Roman" w:cs="Times New Roman"/>
          <w:sz w:val="24"/>
          <w:szCs w:val="24"/>
        </w:rPr>
        <w:t xml:space="preserve"> (км)  – 174</w:t>
      </w:r>
      <w:r>
        <w:rPr>
          <w:rFonts w:ascii="Times New Roman" w:eastAsia="Times New Roman" w:hAnsi="Times New Roman" w:cs="Times New Roman"/>
          <w:sz w:val="24"/>
          <w:szCs w:val="24"/>
        </w:rPr>
        <w:t xml:space="preserve">. </w:t>
      </w:r>
    </w:p>
    <w:p w14:paraId="0000000C" w14:textId="1D983894" w:rsidR="00C75AB1" w:rsidRDefault="007F54C2">
      <w:pPr>
        <w:tabs>
          <w:tab w:val="left" w:pos="562"/>
          <w:tab w:val="center" w:pos="4153"/>
          <w:tab w:val="right" w:pos="8306"/>
        </w:tabs>
        <w:spacing w:line="240"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D" w14:textId="77777777" w:rsidR="00C75AB1" w:rsidRDefault="007F54C2">
      <w:pPr>
        <w:tabs>
          <w:tab w:val="left" w:pos="562"/>
        </w:tabs>
        <w:spacing w:line="240" w:lineRule="auto"/>
        <w:ind w:left="-141" w:right="-27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 xml:space="preserve">Учасник повинен використовувати власні транспортні засоби, або транспортні засоби, які знаходяться у користуванні Учасника (оренда, </w:t>
      </w:r>
      <w:proofErr w:type="spellStart"/>
      <w:r>
        <w:rPr>
          <w:rFonts w:ascii="Times New Roman" w:eastAsia="Times New Roman" w:hAnsi="Times New Roman" w:cs="Times New Roman"/>
          <w:sz w:val="24"/>
          <w:szCs w:val="24"/>
        </w:rPr>
        <w:t>найм</w:t>
      </w:r>
      <w:proofErr w:type="spellEnd"/>
      <w:r>
        <w:rPr>
          <w:rFonts w:ascii="Times New Roman" w:eastAsia="Times New Roman" w:hAnsi="Times New Roman" w:cs="Times New Roman"/>
          <w:sz w:val="24"/>
          <w:szCs w:val="24"/>
        </w:rPr>
        <w:t xml:space="preserve">, лізинг) відповідно до їх призначення згідно з інструкцією виробника. </w:t>
      </w:r>
    </w:p>
    <w:p w14:paraId="00000017" w14:textId="0E312117" w:rsidR="00C75AB1" w:rsidRDefault="007F54C2">
      <w:pPr>
        <w:tabs>
          <w:tab w:val="left" w:pos="555"/>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Учасник зобов’язаний зберігати транспортний засіб у спеціально пристосованих для цього територіях, забезпечених засобами охорони.</w:t>
      </w:r>
    </w:p>
    <w:p w14:paraId="00000018" w14:textId="77777777" w:rsidR="00C75AB1" w:rsidRDefault="007F54C2">
      <w:pPr>
        <w:tabs>
          <w:tab w:val="left" w:pos="555"/>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Учасником забезпечується:</w:t>
      </w:r>
    </w:p>
    <w:p w14:paraId="00000019" w14:textId="77777777" w:rsidR="00C75AB1" w:rsidRDefault="007F54C2">
      <w:pPr>
        <w:numPr>
          <w:ilvl w:val="0"/>
          <w:numId w:val="1"/>
        </w:numPr>
        <w:tabs>
          <w:tab w:val="left" w:pos="555"/>
        </w:tabs>
        <w:spacing w:line="240"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технічне  обслуговування  транспортного засобу, заміна шин та акумуляторів, ремонтні витрати, витрати на миття та прибирання;</w:t>
      </w:r>
    </w:p>
    <w:p w14:paraId="0000001A" w14:textId="77777777" w:rsidR="00C75AB1" w:rsidRDefault="007F54C2">
      <w:pPr>
        <w:numPr>
          <w:ilvl w:val="0"/>
          <w:numId w:val="1"/>
        </w:numPr>
        <w:tabs>
          <w:tab w:val="left" w:pos="555"/>
        </w:tabs>
        <w:spacing w:line="240"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придбання палива (бензин, газ або дизель), мастильних матеріалів (моторна олива, трансмісійна олива, спеціальні олії та інше).</w:t>
      </w:r>
    </w:p>
    <w:p w14:paraId="0000001B" w14:textId="77777777" w:rsidR="00C75AB1" w:rsidRDefault="007F54C2">
      <w:pPr>
        <w:tabs>
          <w:tab w:val="left" w:pos="-142"/>
          <w:tab w:val="center" w:pos="555"/>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Наявність можливості здійснювати Учасником за власні кошти обов’язковий щоденний медичний огляд водія та технічний огляд транспортного засобу перед виїздом.</w:t>
      </w:r>
    </w:p>
    <w:p w14:paraId="0000001D" w14:textId="219D2453" w:rsidR="00C75AB1" w:rsidRDefault="007F54C2">
      <w:pPr>
        <w:tabs>
          <w:tab w:val="left" w:pos="-142"/>
          <w:tab w:val="center" w:pos="562"/>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Обов’язкова наявність у  Учасника  досвіду  надання  транспортних  послуг перевезен</w:t>
      </w:r>
      <w:r w:rsidR="007C3D08">
        <w:rPr>
          <w:rFonts w:ascii="Times New Roman" w:eastAsia="Times New Roman" w:hAnsi="Times New Roman" w:cs="Times New Roman"/>
          <w:sz w:val="24"/>
          <w:szCs w:val="24"/>
        </w:rPr>
        <w:t>ня учнів та педагогічних праців</w:t>
      </w:r>
      <w:r>
        <w:rPr>
          <w:rFonts w:ascii="Times New Roman" w:eastAsia="Times New Roman" w:hAnsi="Times New Roman" w:cs="Times New Roman"/>
          <w:sz w:val="24"/>
          <w:szCs w:val="24"/>
        </w:rPr>
        <w:t xml:space="preserve">ників. </w:t>
      </w:r>
    </w:p>
    <w:p w14:paraId="0000001F" w14:textId="1B84ACEF" w:rsidR="00C75AB1" w:rsidRDefault="007F54C2" w:rsidP="007F54C2">
      <w:pPr>
        <w:tabs>
          <w:tab w:val="left" w:pos="-142"/>
          <w:tab w:val="center" w:pos="562"/>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Порядок формування ціни договору:</w:t>
      </w:r>
    </w:p>
    <w:p w14:paraId="00000021" w14:textId="7B99F8E4" w:rsidR="00C75AB1" w:rsidRDefault="007F54C2" w:rsidP="007F54C2">
      <w:pPr>
        <w:tabs>
          <w:tab w:val="left" w:pos="180"/>
          <w:tab w:val="center" w:pos="4153"/>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ціна договору включає в себе вартість наданих послуг, витрати на ремонт та технічне обслуговування автомобіля, придбання палива та мастильних матеріалів, заміна шин та акумуляторів, витрати на миття та прибирання автомобілю, інші витрати, пов'язані із виконанням зобов'язань за договором, а також витрати на страхування, сплату податків, зборів та інших обов'язкових платежів; </w:t>
      </w:r>
    </w:p>
    <w:p w14:paraId="00000022" w14:textId="0381210D" w:rsidR="00C75AB1" w:rsidRDefault="007F54C2">
      <w:pPr>
        <w:tabs>
          <w:tab w:val="left" w:pos="180"/>
          <w:tab w:val="center" w:pos="4153"/>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оплата послуг здійснюється щомісячно на основі актів здачі-приймання наданих послуг, шляхом перерахування грошових коштів на розрахунковий рахунок  Учасника;</w:t>
      </w:r>
    </w:p>
    <w:p w14:paraId="00000023" w14:textId="77777777" w:rsidR="00C75AB1" w:rsidRDefault="007F54C2">
      <w:pPr>
        <w:tabs>
          <w:tab w:val="left" w:pos="180"/>
          <w:tab w:val="center" w:pos="4153"/>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ціна послуги не повинна перевищувати ціну тендерної пропозиції;</w:t>
      </w:r>
    </w:p>
    <w:p w14:paraId="00000024" w14:textId="77777777" w:rsidR="00C75AB1" w:rsidRDefault="007F54C2">
      <w:pPr>
        <w:tabs>
          <w:tab w:val="left" w:pos="180"/>
          <w:tab w:val="center" w:pos="4153"/>
          <w:tab w:val="right" w:pos="8306"/>
        </w:tabs>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надання послуг здійснюється силами і засобами Учасника; </w:t>
      </w:r>
    </w:p>
    <w:p w14:paraId="00000025" w14:textId="77777777" w:rsidR="00C75AB1" w:rsidRDefault="007F54C2">
      <w:pPr>
        <w:spacing w:line="240" w:lineRule="auto"/>
        <w:ind w:left="141"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обсяг наданих послуг підтверджується актами здачі-приймання наданих послуг.</w:t>
      </w:r>
    </w:p>
    <w:p w14:paraId="00000026" w14:textId="77777777" w:rsidR="00C75AB1" w:rsidRDefault="00C75AB1">
      <w:pPr>
        <w:spacing w:line="240" w:lineRule="auto"/>
        <w:ind w:left="-141" w:right="-276" w:firstLine="708"/>
        <w:jc w:val="both"/>
        <w:rPr>
          <w:rFonts w:ascii="Times New Roman" w:eastAsia="Times New Roman" w:hAnsi="Times New Roman" w:cs="Times New Roman"/>
          <w:sz w:val="24"/>
          <w:szCs w:val="24"/>
        </w:rPr>
      </w:pPr>
    </w:p>
    <w:p w14:paraId="00000027" w14:textId="77777777" w:rsidR="00C75AB1" w:rsidRDefault="007F54C2">
      <w:pPr>
        <w:spacing w:line="240" w:lineRule="auto"/>
        <w:ind w:left="-141" w:right="-27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найменуванні робіт (послуг) чи технічних, якісних та кількісних характеристиках до предмету закупівлі є посилання на конкретну торговельну марку, фірму, конструкцію, тип обладнання або матеріал, то даний вираз </w:t>
      </w:r>
      <w:proofErr w:type="spellStart"/>
      <w:r>
        <w:rPr>
          <w:rFonts w:ascii="Times New Roman" w:eastAsia="Times New Roman" w:hAnsi="Times New Roman" w:cs="Times New Roman"/>
          <w:sz w:val="24"/>
          <w:szCs w:val="24"/>
        </w:rPr>
        <w:t>читається</w:t>
      </w:r>
      <w:proofErr w:type="spellEnd"/>
      <w:r>
        <w:rPr>
          <w:rFonts w:ascii="Times New Roman" w:eastAsia="Times New Roman" w:hAnsi="Times New Roman" w:cs="Times New Roman"/>
          <w:sz w:val="24"/>
          <w:szCs w:val="24"/>
        </w:rPr>
        <w:t xml:space="preserve"> в значенні «або еквівалент».</w:t>
      </w:r>
    </w:p>
    <w:p w14:paraId="00000028" w14:textId="77777777" w:rsidR="00C75AB1" w:rsidRDefault="00C75AB1">
      <w:pPr>
        <w:jc w:val="both"/>
        <w:rPr>
          <w:rFonts w:ascii="Times New Roman" w:eastAsia="Times New Roman" w:hAnsi="Times New Roman" w:cs="Times New Roman"/>
          <w:sz w:val="24"/>
          <w:szCs w:val="24"/>
        </w:rPr>
      </w:pPr>
    </w:p>
    <w:sectPr w:rsidR="00C75AB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1278B"/>
    <w:multiLevelType w:val="multilevel"/>
    <w:tmpl w:val="8AD0D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B1"/>
    <w:rsid w:val="00013633"/>
    <w:rsid w:val="00235955"/>
    <w:rsid w:val="007C3D08"/>
    <w:rsid w:val="007F54C2"/>
    <w:rsid w:val="00C7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06CB"/>
  <w15:docId w15:val="{0C691214-A076-4991-A1B6-74C38FA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xdxzCxelrx/rjOfVNBbg9d9bUg==">CgMxLjA4AHIhMVU5VnR1R2RLX2t1d040N3J5OTdjT3loa0hFWVJEQ0hz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2024-01-25T11:04:00Z</dcterms:created>
  <dcterms:modified xsi:type="dcterms:W3CDTF">2024-01-25T11:44:00Z</dcterms:modified>
</cp:coreProperties>
</file>