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53D83">
        <w:rPr>
          <w:rFonts w:ascii="Times New Roman" w:hAnsi="Times New Roman" w:cs="Times New Roman"/>
          <w:sz w:val="24"/>
          <w:szCs w:val="24"/>
          <w:lang w:val="uk-UA"/>
        </w:rPr>
        <w:t xml:space="preserve">Протоколом </w:t>
      </w:r>
      <w:r w:rsidR="009240A9" w:rsidRPr="00353D83">
        <w:rPr>
          <w:rFonts w:ascii="Times New Roman" w:hAnsi="Times New Roman" w:cs="Times New Roman"/>
          <w:sz w:val="24"/>
          <w:szCs w:val="24"/>
          <w:lang w:val="uk-UA"/>
        </w:rPr>
        <w:t>№</w:t>
      </w:r>
      <w:r w:rsidR="00C62935" w:rsidRPr="00353D83">
        <w:rPr>
          <w:rFonts w:ascii="Times New Roman" w:hAnsi="Times New Roman" w:cs="Times New Roman"/>
          <w:sz w:val="24"/>
          <w:szCs w:val="24"/>
          <w:lang w:val="uk-UA"/>
        </w:rPr>
        <w:t>32</w:t>
      </w:r>
      <w:r w:rsidRPr="00353D83">
        <w:rPr>
          <w:rFonts w:ascii="Times New Roman" w:hAnsi="Times New Roman" w:cs="Times New Roman"/>
          <w:sz w:val="24"/>
          <w:szCs w:val="24"/>
          <w:lang w:val="uk-UA"/>
        </w:rPr>
        <w:t xml:space="preserve"> від </w:t>
      </w:r>
      <w:r w:rsidR="00C62935" w:rsidRPr="00353D83">
        <w:rPr>
          <w:rFonts w:ascii="Times New Roman" w:hAnsi="Times New Roman" w:cs="Times New Roman"/>
          <w:sz w:val="24"/>
          <w:szCs w:val="24"/>
          <w:lang w:val="uk-UA"/>
        </w:rPr>
        <w:t>21</w:t>
      </w:r>
      <w:r w:rsidR="0052034C" w:rsidRPr="00353D83">
        <w:rPr>
          <w:rFonts w:ascii="Times New Roman" w:hAnsi="Times New Roman" w:cs="Times New Roman"/>
          <w:sz w:val="24"/>
          <w:szCs w:val="24"/>
          <w:lang w:val="uk-UA"/>
        </w:rPr>
        <w:t xml:space="preserve"> </w:t>
      </w:r>
      <w:r w:rsidR="0089139D" w:rsidRPr="00353D83">
        <w:rPr>
          <w:rFonts w:ascii="Times New Roman" w:hAnsi="Times New Roman" w:cs="Times New Roman"/>
          <w:sz w:val="24"/>
          <w:szCs w:val="24"/>
          <w:lang w:val="uk-UA"/>
        </w:rPr>
        <w:t xml:space="preserve">березня </w:t>
      </w:r>
      <w:r w:rsidRPr="00353D83">
        <w:rPr>
          <w:rFonts w:ascii="Times New Roman" w:hAnsi="Times New Roman" w:cs="Times New Roman"/>
          <w:sz w:val="24"/>
          <w:szCs w:val="24"/>
          <w:lang w:val="uk-UA"/>
        </w:rPr>
        <w:t>202</w:t>
      </w:r>
      <w:r w:rsidR="007C5690" w:rsidRPr="00353D83">
        <w:rPr>
          <w:rFonts w:ascii="Times New Roman" w:hAnsi="Times New Roman" w:cs="Times New Roman"/>
          <w:sz w:val="24"/>
          <w:szCs w:val="24"/>
          <w:lang w:val="uk-UA"/>
        </w:rPr>
        <w:t>3</w:t>
      </w:r>
      <w:r w:rsidRPr="00353D83">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353D83">
        <w:rPr>
          <w:b/>
          <w:color w:val="000000"/>
          <w:lang w:val="uk-UA"/>
        </w:rPr>
        <w:t>«</w:t>
      </w:r>
      <w:r w:rsidR="00C62935" w:rsidRPr="00353D83">
        <w:rPr>
          <w:b/>
          <w:color w:val="000000"/>
          <w:lang w:val="uk-UA"/>
        </w:rPr>
        <w:t>21</w:t>
      </w:r>
      <w:r w:rsidR="001E414E" w:rsidRPr="00353D83">
        <w:rPr>
          <w:b/>
          <w:color w:val="000000"/>
          <w:lang w:val="uk-UA"/>
        </w:rPr>
        <w:t>»</w:t>
      </w:r>
      <w:r w:rsidRPr="00353D83">
        <w:rPr>
          <w:b/>
          <w:color w:val="000000"/>
          <w:lang w:val="uk-UA"/>
        </w:rPr>
        <w:t xml:space="preserve"> </w:t>
      </w:r>
      <w:r w:rsidR="0089139D" w:rsidRPr="00353D83">
        <w:rPr>
          <w:b/>
          <w:color w:val="000000"/>
          <w:lang w:val="uk-UA"/>
        </w:rPr>
        <w:t>березня</w:t>
      </w:r>
      <w:r w:rsidR="009240A9" w:rsidRPr="00353D83">
        <w:rPr>
          <w:b/>
          <w:color w:val="000000"/>
          <w:lang w:val="uk-UA"/>
        </w:rPr>
        <w:t xml:space="preserve"> 202</w:t>
      </w:r>
      <w:r w:rsidR="007C5690" w:rsidRPr="00353D83">
        <w:rPr>
          <w:b/>
          <w:color w:val="000000"/>
          <w:lang w:val="uk-UA"/>
        </w:rPr>
        <w:t xml:space="preserve">3 </w:t>
      </w:r>
      <w:r w:rsidRPr="00353D83">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597E5D" w:rsidRPr="00C62935" w:rsidRDefault="00C62935" w:rsidP="00C62935">
      <w:pPr>
        <w:jc w:val="center"/>
        <w:rPr>
          <w:b/>
          <w:bCs/>
          <w:color w:val="000000"/>
          <w:sz w:val="40"/>
          <w:szCs w:val="40"/>
          <w:lang w:val="uk-UA"/>
        </w:rPr>
      </w:pPr>
      <w:r w:rsidRPr="00C62935">
        <w:rPr>
          <w:b/>
          <w:sz w:val="40"/>
          <w:szCs w:val="40"/>
          <w:lang w:val="uk-UA"/>
        </w:rPr>
        <w:t>Стоматологічні та вузькоспеціалізовані інструменти та прила</w:t>
      </w:r>
      <w:r>
        <w:rPr>
          <w:b/>
          <w:sz w:val="40"/>
          <w:szCs w:val="40"/>
          <w:lang w:val="uk-UA"/>
        </w:rPr>
        <w:t>ди в стоматологічне відділення</w:t>
      </w:r>
      <w:r>
        <w:rPr>
          <w:b/>
          <w:sz w:val="40"/>
          <w:szCs w:val="40"/>
          <w:lang w:val="uk-UA"/>
        </w:rPr>
        <w:br/>
      </w:r>
      <w:r w:rsidRPr="00C62935">
        <w:rPr>
          <w:b/>
          <w:sz w:val="40"/>
          <w:szCs w:val="40"/>
          <w:lang w:val="uk-UA"/>
        </w:rPr>
        <w:t>Код за ДК 021:2015: 33130000-0 «Стоматологічні та вузькоспеціалізовані інструменти та прилади»</w:t>
      </w: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C62935" w:rsidRDefault="00C62935"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353D8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C62935" w:rsidP="00492405">
            <w:pPr>
              <w:rPr>
                <w:b/>
                <w:bCs/>
                <w:position w:val="-2"/>
                <w:lang w:val="uk-UA" w:eastAsia="zh-CN"/>
              </w:rPr>
            </w:pPr>
            <w:r w:rsidRPr="00C62935">
              <w:rPr>
                <w:b/>
                <w:bCs/>
                <w:position w:val="-2"/>
                <w:lang w:val="uk-UA" w:eastAsia="zh-CN"/>
              </w:rPr>
              <w:t>Стоматологічні та вузькоспеціалізовані інструменти та прилади в стоматологічне відділення, Код за ДК 021:2015: 33130000-0 «Стоматологічні та вузькоспеціалізовані інструменти та прилади»</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C62935" w:rsidP="0089139D">
            <w:pPr>
              <w:rPr>
                <w:b/>
                <w:bCs/>
                <w:position w:val="-2"/>
                <w:lang w:val="uk-UA" w:eastAsia="zh-CN"/>
              </w:rPr>
            </w:pPr>
            <w:r w:rsidRPr="00C62935">
              <w:rPr>
                <w:bCs/>
                <w:position w:val="-2"/>
                <w:lang w:val="uk-UA" w:eastAsia="zh-CN"/>
              </w:rPr>
              <w:t>Стоматологічні та вузькоспеціалізовані інструменти та прилади в стоматологічне відділення, Код за ДК 021:2015: 33130000-0 «Стоматологічні та вузькоспеціалізовані інструменти та прилади»</w:t>
            </w:r>
          </w:p>
        </w:tc>
      </w:tr>
      <w:tr w:rsidR="00DE1CC7" w:rsidRPr="00C62935"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C62935" w:rsidP="00C62935">
            <w:pPr>
              <w:pStyle w:val="a4"/>
              <w:spacing w:line="256" w:lineRule="auto"/>
              <w:jc w:val="both"/>
              <w:rPr>
                <w:bCs/>
                <w:lang w:val="uk-UA"/>
              </w:rPr>
            </w:pPr>
            <w:r w:rsidRPr="00C62935">
              <w:rPr>
                <w:bCs/>
                <w:lang w:val="uk-UA"/>
              </w:rPr>
              <w:t xml:space="preserve">Стоматологічні та вузькоспеціалізовані інструменти та прилади в стоматологічне відділення,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r w:rsidR="00C62935">
              <w:rPr>
                <w:lang w:val="uk-UA"/>
              </w:rPr>
              <w:t>, стоматологічне віділення</w:t>
            </w:r>
          </w:p>
          <w:p w:rsidR="00DE1CC7" w:rsidRDefault="00FF7D15" w:rsidP="00353D83">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353D83">
              <w:rPr>
                <w:lang w:val="uk-UA"/>
              </w:rPr>
              <w:t>товара</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62935">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C62935">
              <w:rPr>
                <w:lang w:val="uk-UA"/>
              </w:rPr>
              <w:t>0</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353D8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F41C85">
              <w:rPr>
                <w:color w:val="000000"/>
                <w:sz w:val="23"/>
                <w:szCs w:val="23"/>
                <w:lang w:val="uk-UA" w:eastAsia="en-US"/>
              </w:rPr>
              <w:lastRenderedPageBreak/>
              <w:t xml:space="preserve">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353D8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color w:val="000000"/>
                <w:sz w:val="23"/>
                <w:szCs w:val="23"/>
                <w:lang w:eastAsia="en-US"/>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353D8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 xml:space="preserve">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w:t>
            </w:r>
            <w:r w:rsidRPr="009A3931">
              <w:rPr>
                <w:b/>
                <w:color w:val="000000"/>
                <w:sz w:val="23"/>
                <w:szCs w:val="23"/>
                <w:lang w:val="uk-UA" w:eastAsia="en-US"/>
              </w:rPr>
              <w:lastRenderedPageBreak/>
              <w:t>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підтверджують відповідність предмета закупівлі </w:t>
            </w:r>
            <w:r>
              <w:rPr>
                <w:b/>
                <w:bCs/>
                <w:color w:val="000000"/>
                <w:sz w:val="23"/>
                <w:szCs w:val="23"/>
                <w:lang w:eastAsia="en-US"/>
              </w:rPr>
              <w:lastRenderedPageBreak/>
              <w:t>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lastRenderedPageBreak/>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C62935" w:rsidRPr="00353D83">
              <w:rPr>
                <w:b/>
                <w:color w:val="000000"/>
                <w:sz w:val="23"/>
                <w:szCs w:val="23"/>
                <w:lang w:val="uk-UA" w:eastAsia="en-US"/>
              </w:rPr>
              <w:t>29</w:t>
            </w:r>
            <w:r w:rsidRPr="00353D83">
              <w:rPr>
                <w:b/>
                <w:color w:val="000000"/>
                <w:sz w:val="23"/>
                <w:szCs w:val="23"/>
                <w:lang w:val="uk-UA" w:eastAsia="en-US"/>
              </w:rPr>
              <w:t>.</w:t>
            </w:r>
            <w:r w:rsidR="00CE7E39" w:rsidRPr="00353D83">
              <w:rPr>
                <w:b/>
                <w:color w:val="000000"/>
                <w:sz w:val="23"/>
                <w:szCs w:val="23"/>
                <w:lang w:val="uk-UA" w:eastAsia="en-US"/>
              </w:rPr>
              <w:t>0</w:t>
            </w:r>
            <w:r w:rsidR="00492405" w:rsidRPr="00353D83">
              <w:rPr>
                <w:b/>
                <w:color w:val="000000"/>
                <w:sz w:val="23"/>
                <w:szCs w:val="23"/>
                <w:lang w:val="uk-UA" w:eastAsia="en-US"/>
              </w:rPr>
              <w:t>3</w:t>
            </w:r>
            <w:r w:rsidRPr="00353D83">
              <w:rPr>
                <w:b/>
                <w:color w:val="000000"/>
                <w:sz w:val="23"/>
                <w:szCs w:val="23"/>
                <w:lang w:val="uk-UA" w:eastAsia="en-US"/>
              </w:rPr>
              <w:t>.202</w:t>
            </w:r>
            <w:r w:rsidR="00CE7E39" w:rsidRPr="00353D83">
              <w:rPr>
                <w:b/>
                <w:color w:val="000000"/>
                <w:sz w:val="23"/>
                <w:szCs w:val="23"/>
                <w:lang w:val="uk-UA" w:eastAsia="en-US"/>
              </w:rPr>
              <w:t>3</w:t>
            </w:r>
            <w:r w:rsidRPr="00353D83">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місцезнаходження та ідентифікаційний код замовника в </w:t>
            </w:r>
            <w:r w:rsidRPr="003F189A">
              <w:rPr>
                <w:color w:val="000000"/>
                <w:sz w:val="23"/>
                <w:szCs w:val="23"/>
                <w:lang w:eastAsia="en-US"/>
              </w:rPr>
              <w:lastRenderedPageBreak/>
              <w:t>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3F189A">
              <w:rPr>
                <w:color w:val="000000"/>
                <w:sz w:val="23"/>
                <w:szCs w:val="23"/>
                <w:lang w:eastAsia="en-US"/>
              </w:rPr>
              <w:lastRenderedPageBreak/>
              <w:t>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w:t>
            </w:r>
            <w:r w:rsidRPr="0089139D">
              <w:rPr>
                <w:sz w:val="23"/>
                <w:szCs w:val="23"/>
                <w:lang w:eastAsia="en-US"/>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не надав забезпечення тендерної пропозиції,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89139D">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lastRenderedPageBreak/>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353D8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3) скорочення обсягу видатків на здійснення закупівлі товарів, робіт чи 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00262847" w:rsidRPr="0089139D">
              <w:rPr>
                <w:sz w:val="23"/>
                <w:szCs w:val="23"/>
                <w:lang w:val="uk-UA" w:eastAsia="en-US"/>
              </w:rPr>
              <w:lastRenderedPageBreak/>
              <w:t>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w:t>
            </w:r>
            <w:r w:rsidRPr="0089139D">
              <w:rPr>
                <w:sz w:val="23"/>
                <w:szCs w:val="23"/>
                <w:lang w:eastAsia="en-US"/>
              </w:rPr>
              <w:lastRenderedPageBreak/>
              <w:t>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9139D">
              <w:rPr>
                <w:sz w:val="23"/>
                <w:szCs w:val="23"/>
                <w:lang w:val="uk-UA" w:eastAsia="en-US"/>
              </w:rPr>
              <w:lastRenderedPageBreak/>
              <w:t>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0858"/>
    <w:rsid w:val="003042C1"/>
    <w:rsid w:val="00330223"/>
    <w:rsid w:val="00353D8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2935"/>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ED37-4147-440B-9F43-96CCAAE8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7467</Words>
  <Characters>42566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126</cp:revision>
  <cp:lastPrinted>2023-03-21T09:27:00Z</cp:lastPrinted>
  <dcterms:created xsi:type="dcterms:W3CDTF">2021-10-21T06:37:00Z</dcterms:created>
  <dcterms:modified xsi:type="dcterms:W3CDTF">2023-03-21T09:32:00Z</dcterms:modified>
</cp:coreProperties>
</file>