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D9" w:rsidRPr="00146A31" w:rsidRDefault="00491BD9" w:rsidP="00491BD9">
      <w:pPr>
        <w:jc w:val="right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146A31">
        <w:rPr>
          <w:rFonts w:ascii="Times New Roman" w:hAnsi="Times New Roman"/>
          <w:b/>
          <w:bCs/>
          <w:sz w:val="20"/>
          <w:szCs w:val="20"/>
        </w:rPr>
        <w:t>Додаток №</w:t>
      </w:r>
      <w:r w:rsidR="00146A31">
        <w:rPr>
          <w:rFonts w:ascii="Times New Roman" w:hAnsi="Times New Roman"/>
          <w:b/>
          <w:bCs/>
          <w:sz w:val="20"/>
          <w:szCs w:val="20"/>
          <w:lang w:val="uk-UA"/>
        </w:rPr>
        <w:t>2</w:t>
      </w:r>
    </w:p>
    <w:p w:rsidR="00491BD9" w:rsidRDefault="00491BD9" w:rsidP="00491BD9">
      <w:pPr>
        <w:spacing w:line="264" w:lineRule="auto"/>
        <w:jc w:val="center"/>
        <w:rPr>
          <w:rFonts w:ascii="Times New Roman" w:hAnsi="Times New Roman"/>
          <w:bCs/>
          <w:sz w:val="20"/>
          <w:szCs w:val="20"/>
          <w:lang w:val="uk-UA"/>
        </w:rPr>
      </w:pPr>
    </w:p>
    <w:p w:rsidR="00491BD9" w:rsidRDefault="00491BD9" w:rsidP="00491BD9">
      <w:pPr>
        <w:spacing w:line="264" w:lineRule="auto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9E685E">
        <w:rPr>
          <w:rFonts w:ascii="Times New Roman" w:hAnsi="Times New Roman" w:cs="Times New Roman"/>
          <w:b/>
          <w:bCs/>
          <w:sz w:val="22"/>
          <w:szCs w:val="22"/>
          <w:lang w:val="uk-UA"/>
        </w:rPr>
        <w:t>МЕДИКО-</w:t>
      </w:r>
      <w:r w:rsidRPr="009E685E">
        <w:rPr>
          <w:rFonts w:ascii="Times New Roman" w:hAnsi="Times New Roman" w:cs="Times New Roman"/>
          <w:b/>
          <w:sz w:val="22"/>
          <w:szCs w:val="22"/>
          <w:lang w:val="uk-UA"/>
        </w:rPr>
        <w:t xml:space="preserve">ТЕХНІЧНЕ ЗАВДАННЯ </w:t>
      </w:r>
    </w:p>
    <w:tbl>
      <w:tblPr>
        <w:tblpPr w:leftFromText="180" w:rightFromText="180" w:vertAnchor="page" w:horzAnchor="margin" w:tblpY="3133"/>
        <w:tblW w:w="10173" w:type="dxa"/>
        <w:tblLook w:val="04A0" w:firstRow="1" w:lastRow="0" w:firstColumn="1" w:lastColumn="0" w:noHBand="0" w:noVBand="1"/>
      </w:tblPr>
      <w:tblGrid>
        <w:gridCol w:w="392"/>
        <w:gridCol w:w="1985"/>
        <w:gridCol w:w="1173"/>
        <w:gridCol w:w="1269"/>
        <w:gridCol w:w="922"/>
        <w:gridCol w:w="2251"/>
        <w:gridCol w:w="2181"/>
      </w:tblGrid>
      <w:tr w:rsidR="00E33A7C" w:rsidRPr="00E33A7C" w:rsidTr="00BC413E">
        <w:trPr>
          <w:trHeight w:val="3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ind w:left="-39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3A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3A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3A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НК 024:2023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3A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Медико-технічні вимоги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3A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Кількість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ind w:right="122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33A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Пакування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33A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Підтвердження</w:t>
            </w:r>
            <w:proofErr w:type="spellEnd"/>
            <w:r w:rsidRPr="00E33A7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вимог учасником</w:t>
            </w:r>
          </w:p>
        </w:tc>
      </w:tr>
      <w:tr w:rsidR="00E33A7C" w:rsidRPr="00E33A7C" w:rsidTr="00BC413E">
        <w:trPr>
          <w:trHeight w:val="1020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ind w:left="-392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105-009119-00 Контроль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ClinChem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(рівень1)   (1ф-5мл)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47869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Множинні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аналіти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клінічної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хімії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IVD (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діагностика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),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контрольний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матеріал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Ліофілізований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контрольний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матеріал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основі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людської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сироватки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ind w:left="-1071" w:firstLine="1071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флак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A7C" w:rsidRPr="00E33A7C" w:rsidTr="00BC413E">
        <w:trPr>
          <w:trHeight w:val="1020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ind w:left="-392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105-009120-00 Контроль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ClinChem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рівень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2) (1фл - 5мл)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47869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Множинні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аналіти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клінічної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хімії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IVD (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діагностика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in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vitro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),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контрольний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матеріал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Ліофілізований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контрольний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матеріал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основі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людської</w:t>
            </w:r>
            <w:proofErr w:type="spellEnd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сироватки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флак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33A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33A7C" w:rsidRPr="00E33A7C" w:rsidTr="00BC413E">
        <w:trPr>
          <w:trHeight w:val="22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ind w:left="-392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A7C" w:rsidRPr="00E33A7C" w:rsidRDefault="00E33A7C" w:rsidP="00BC413E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33A7C" w:rsidRPr="00E33A7C" w:rsidRDefault="00E33A7C" w:rsidP="00E33A7C">
      <w:pPr>
        <w:spacing w:line="264" w:lineRule="auto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Учасники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процедури закупівлі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повинні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надати в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складі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своїх пропозицій в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електронному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сканованому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вигляді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наступні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документи, завірені підписом уповноваженої особи та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печаткою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(у разі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якщо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учасник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здійснює свою діяльність без печатки, документи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завіряються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лише підписом уповноваженої особи Учасника), які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підтверджують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відповідність пропозицій учасника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технічним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якісним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кількісним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іншим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вимогам до предмета закупівлі,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встановленим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замовником, а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саме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>:</w:t>
      </w:r>
    </w:p>
    <w:p w:rsidR="00E33A7C" w:rsidRPr="00E33A7C" w:rsidRDefault="00E33A7C" w:rsidP="00E33A7C">
      <w:pPr>
        <w:spacing w:line="264" w:lineRule="auto"/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:rsidR="00E33A7C" w:rsidRPr="00E33A7C" w:rsidRDefault="00E33A7C" w:rsidP="00E33A7C">
      <w:pPr>
        <w:spacing w:line="264" w:lineRule="auto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E33A7C">
        <w:rPr>
          <w:rFonts w:ascii="Times New Roman" w:hAnsi="Times New Roman" w:cs="Times New Roman"/>
          <w:sz w:val="22"/>
          <w:szCs w:val="22"/>
        </w:rPr>
        <w:t xml:space="preserve">1. Товар,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запропонований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Учасником, повинен бути внесений до Державного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реєстру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медичної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техніки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медичних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виробів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та/або введений в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обіг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відповідно до законодавства у сфері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технічного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регулювання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та оцінки відповідності, у передбаченому законодавством порядку. </w:t>
      </w:r>
    </w:p>
    <w:p w:rsidR="00E33A7C" w:rsidRPr="00E33A7C" w:rsidRDefault="00E33A7C" w:rsidP="00E33A7C">
      <w:pPr>
        <w:spacing w:line="264" w:lineRule="auto"/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:rsidR="00E33A7C" w:rsidRPr="00E33A7C" w:rsidRDefault="00E33A7C" w:rsidP="00E33A7C">
      <w:pPr>
        <w:spacing w:line="264" w:lineRule="auto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E33A7C">
        <w:rPr>
          <w:rFonts w:ascii="Times New Roman" w:hAnsi="Times New Roman" w:cs="Times New Roman"/>
          <w:sz w:val="22"/>
          <w:szCs w:val="22"/>
        </w:rPr>
        <w:t xml:space="preserve">На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підтвердження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Учасник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складі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пропозиції повинен надати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копію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декларації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або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копію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документів, що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підтверджують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можливість введення в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обіг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та/або експлуатацію (застосування) медичного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виробу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за результатами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проходження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процедури оцінки відповідності згідно вимог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технічного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регламенту. </w:t>
      </w:r>
    </w:p>
    <w:p w:rsidR="00E33A7C" w:rsidRPr="00E33A7C" w:rsidRDefault="00E33A7C" w:rsidP="00E33A7C">
      <w:pPr>
        <w:spacing w:line="264" w:lineRule="auto"/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:rsidR="00E33A7C" w:rsidRPr="00E33A7C" w:rsidRDefault="00E33A7C" w:rsidP="00E33A7C">
      <w:pPr>
        <w:spacing w:line="264" w:lineRule="auto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E33A7C">
        <w:rPr>
          <w:rFonts w:ascii="Times New Roman" w:hAnsi="Times New Roman" w:cs="Times New Roman"/>
          <w:sz w:val="22"/>
          <w:szCs w:val="22"/>
        </w:rPr>
        <w:t xml:space="preserve">2. Залишковий термін придатності товару на момент </w:t>
      </w:r>
      <w:proofErr w:type="gramStart"/>
      <w:r w:rsidRPr="00E33A7C">
        <w:rPr>
          <w:rFonts w:ascii="Times New Roman" w:hAnsi="Times New Roman" w:cs="Times New Roman"/>
          <w:sz w:val="22"/>
          <w:szCs w:val="22"/>
        </w:rPr>
        <w:t>постачання  повинен</w:t>
      </w:r>
      <w:proofErr w:type="gramEnd"/>
      <w:r w:rsidRPr="00E33A7C">
        <w:rPr>
          <w:rFonts w:ascii="Times New Roman" w:hAnsi="Times New Roman" w:cs="Times New Roman"/>
          <w:sz w:val="22"/>
          <w:szCs w:val="22"/>
        </w:rPr>
        <w:t xml:space="preserve"> складати не менше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ніж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60% загального терміну їх зберігання (надати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гарантійний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лист від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імені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Учасника).</w:t>
      </w:r>
    </w:p>
    <w:p w:rsidR="00E33A7C" w:rsidRPr="00E33A7C" w:rsidRDefault="00E33A7C" w:rsidP="00E33A7C">
      <w:pPr>
        <w:spacing w:line="264" w:lineRule="auto"/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:rsidR="00E33A7C" w:rsidRPr="00E33A7C" w:rsidRDefault="00E33A7C" w:rsidP="00E33A7C">
      <w:pPr>
        <w:spacing w:line="264" w:lineRule="auto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E33A7C">
        <w:rPr>
          <w:rFonts w:ascii="Times New Roman" w:hAnsi="Times New Roman" w:cs="Times New Roman"/>
          <w:sz w:val="22"/>
          <w:szCs w:val="22"/>
        </w:rPr>
        <w:t xml:space="preserve">На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підтвердження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Учасник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складі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пропозиції повинен надати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гарантійний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лист.</w:t>
      </w:r>
    </w:p>
    <w:p w:rsidR="00E33A7C" w:rsidRPr="00E33A7C" w:rsidRDefault="00E33A7C" w:rsidP="00E33A7C">
      <w:pPr>
        <w:spacing w:line="264" w:lineRule="auto"/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:rsidR="00E33A7C" w:rsidRPr="00E33A7C" w:rsidRDefault="00E33A7C" w:rsidP="00E33A7C">
      <w:pPr>
        <w:spacing w:line="264" w:lineRule="auto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E33A7C">
        <w:rPr>
          <w:rFonts w:ascii="Times New Roman" w:hAnsi="Times New Roman" w:cs="Times New Roman"/>
          <w:sz w:val="22"/>
          <w:szCs w:val="22"/>
        </w:rPr>
        <w:t xml:space="preserve">3. З метою запобігання закупівлі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фальсифікатів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отримання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гарантій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своєчасне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постачання товару у кількості, якості та строками придатності,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учасник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надає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оригінал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гарантійного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листа від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виробника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представництва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філії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виробника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якщо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їх відповідно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повноваження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поширюються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на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територію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України), чи іншого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уповноваженого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на це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виробником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(з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документальним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підтвердженням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такого),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яким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підтверджується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можливість поставки товару, який є предметом закупівлі цього оголошення, у кількості,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зі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строками придатності та в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терміни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визначені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цією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документацією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пропозицією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учасника.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Гарантійний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лист повинен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включати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дату та номер оголошення,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оприлюдненого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на веб-порталі Уповноваженого органу, а також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назву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предмету закупівлі згідно оголошення та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назву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Замовника. Якщо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гарантійний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лист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виданий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представництвом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чи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філією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виробника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, то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учасник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повинен в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складі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пропозиції надати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документальне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підтвердження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таких повноважень, наданих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виробником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товару.</w:t>
      </w:r>
    </w:p>
    <w:p w:rsidR="00E33A7C" w:rsidRPr="00E33A7C" w:rsidRDefault="00E33A7C" w:rsidP="00E33A7C">
      <w:pPr>
        <w:spacing w:line="264" w:lineRule="auto"/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:rsidR="00E33A7C" w:rsidRPr="00E33A7C" w:rsidRDefault="00E33A7C" w:rsidP="00E33A7C">
      <w:pPr>
        <w:spacing w:line="264" w:lineRule="auto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E33A7C">
        <w:rPr>
          <w:rFonts w:ascii="Times New Roman" w:hAnsi="Times New Roman" w:cs="Times New Roman"/>
          <w:sz w:val="22"/>
          <w:szCs w:val="22"/>
        </w:rPr>
        <w:t xml:space="preserve">4. При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поставці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кожна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партія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товару має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супроводжуватися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документами, що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підтверджують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їх якість (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сертифікат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якості,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посвідчення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якості тощо) із зазначенням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даних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, що </w:t>
      </w:r>
      <w:proofErr w:type="spellStart"/>
      <w:r w:rsidRPr="00E33A7C">
        <w:rPr>
          <w:rFonts w:ascii="Times New Roman" w:hAnsi="Times New Roman" w:cs="Times New Roman"/>
          <w:sz w:val="22"/>
          <w:szCs w:val="22"/>
        </w:rPr>
        <w:t>вимагаються</w:t>
      </w:r>
      <w:proofErr w:type="spellEnd"/>
      <w:r w:rsidRPr="00E33A7C">
        <w:rPr>
          <w:rFonts w:ascii="Times New Roman" w:hAnsi="Times New Roman" w:cs="Times New Roman"/>
          <w:sz w:val="22"/>
          <w:szCs w:val="22"/>
        </w:rPr>
        <w:t xml:space="preserve"> чинним законодавством України. </w:t>
      </w:r>
    </w:p>
    <w:p w:rsidR="00E33A7C" w:rsidRPr="00E33A7C" w:rsidRDefault="00E33A7C" w:rsidP="00E33A7C">
      <w:pPr>
        <w:spacing w:line="264" w:lineRule="auto"/>
        <w:ind w:firstLine="1134"/>
        <w:jc w:val="both"/>
        <w:rPr>
          <w:rFonts w:ascii="Times New Roman" w:hAnsi="Times New Roman" w:cs="Times New Roman"/>
          <w:sz w:val="22"/>
          <w:szCs w:val="22"/>
        </w:rPr>
      </w:pPr>
    </w:p>
    <w:p w:rsidR="00E33A7C" w:rsidRPr="00E33A7C" w:rsidRDefault="00E33A7C" w:rsidP="00E33A7C">
      <w:pPr>
        <w:spacing w:line="264" w:lineRule="auto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E33A7C" w:rsidRPr="00E33A7C" w:rsidSect="002D0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9FA"/>
    <w:multiLevelType w:val="multilevel"/>
    <w:tmpl w:val="FFFFFFFF"/>
    <w:lvl w:ilvl="0">
      <w:start w:val="1"/>
      <w:numFmt w:val="decimal"/>
      <w:lvlText w:val=""/>
      <w:lvlJc w:val="left"/>
      <w:pPr>
        <w:ind w:left="720" w:firstLine="1080"/>
      </w:pPr>
      <w:rPr>
        <w:rFonts w:cs="Times New Roman"/>
        <w:i w:val="0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cs="Times New Roman"/>
        <w:vertAlign w:val="baseline"/>
      </w:rPr>
    </w:lvl>
    <w:lvl w:ilvl="2">
      <w:start w:val="1"/>
      <w:numFmt w:val="lowerRoman"/>
      <w:lvlText w:val="%3"/>
      <w:lvlJc w:val="left"/>
      <w:pPr>
        <w:ind w:left="1440" w:firstLine="2520"/>
      </w:pPr>
      <w:rPr>
        <w:rFonts w:cs="Times New Roman"/>
        <w:vertAlign w:val="baseline"/>
      </w:rPr>
    </w:lvl>
    <w:lvl w:ilvl="3">
      <w:start w:val="1"/>
      <w:numFmt w:val="decimal"/>
      <w:lvlText w:val="%4"/>
      <w:lvlJc w:val="left"/>
      <w:pPr>
        <w:ind w:left="1800" w:firstLine="3240"/>
      </w:pPr>
      <w:rPr>
        <w:rFonts w:cs="Times New Roman"/>
        <w:vertAlign w:val="baseline"/>
      </w:rPr>
    </w:lvl>
    <w:lvl w:ilvl="4">
      <w:start w:val="1"/>
      <w:numFmt w:val="lowerLetter"/>
      <w:lvlText w:val="%5"/>
      <w:lvlJc w:val="left"/>
      <w:pPr>
        <w:ind w:left="2160" w:firstLine="3960"/>
      </w:pPr>
      <w:rPr>
        <w:rFonts w:cs="Times New Roman"/>
        <w:vertAlign w:val="baseline"/>
      </w:rPr>
    </w:lvl>
    <w:lvl w:ilvl="5">
      <w:start w:val="1"/>
      <w:numFmt w:val="lowerRoman"/>
      <w:lvlText w:val="%6"/>
      <w:lvlJc w:val="left"/>
      <w:pPr>
        <w:ind w:left="2520" w:firstLine="4680"/>
      </w:pPr>
      <w:rPr>
        <w:rFonts w:cs="Times New Roman"/>
        <w:vertAlign w:val="baseline"/>
      </w:rPr>
    </w:lvl>
    <w:lvl w:ilvl="6">
      <w:start w:val="1"/>
      <w:numFmt w:val="decimal"/>
      <w:lvlText w:val="%7"/>
      <w:lvlJc w:val="left"/>
      <w:pPr>
        <w:ind w:left="2880" w:firstLine="5400"/>
      </w:pPr>
      <w:rPr>
        <w:rFonts w:cs="Times New Roman"/>
        <w:vertAlign w:val="baseline"/>
      </w:rPr>
    </w:lvl>
    <w:lvl w:ilvl="7">
      <w:start w:val="1"/>
      <w:numFmt w:val="lowerLetter"/>
      <w:lvlText w:val="%8"/>
      <w:lvlJc w:val="left"/>
      <w:pPr>
        <w:ind w:left="3240" w:firstLine="6120"/>
      </w:pPr>
      <w:rPr>
        <w:rFonts w:cs="Times New Roman"/>
        <w:vertAlign w:val="baseline"/>
      </w:rPr>
    </w:lvl>
    <w:lvl w:ilvl="8">
      <w:start w:val="1"/>
      <w:numFmt w:val="lowerRoman"/>
      <w:lvlText w:val="%9"/>
      <w:lvlJc w:val="left"/>
      <w:pPr>
        <w:ind w:left="3600" w:firstLine="6840"/>
      </w:pPr>
      <w:rPr>
        <w:rFonts w:cs="Times New Roman"/>
        <w:vertAlign w:val="baseline"/>
      </w:rPr>
    </w:lvl>
  </w:abstractNum>
  <w:abstractNum w:abstractNumId="1" w15:restartNumberingAfterBreak="0">
    <w:nsid w:val="07E760CF"/>
    <w:multiLevelType w:val="hybridMultilevel"/>
    <w:tmpl w:val="213C57FE"/>
    <w:lvl w:ilvl="0" w:tplc="174293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11C11"/>
    <w:multiLevelType w:val="hybridMultilevel"/>
    <w:tmpl w:val="4A24DBAA"/>
    <w:lvl w:ilvl="0" w:tplc="B106BE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DE"/>
    <w:rsid w:val="00146A31"/>
    <w:rsid w:val="001A7F68"/>
    <w:rsid w:val="002867D8"/>
    <w:rsid w:val="002D0D76"/>
    <w:rsid w:val="00340581"/>
    <w:rsid w:val="00487C96"/>
    <w:rsid w:val="00491BD9"/>
    <w:rsid w:val="004E2E1D"/>
    <w:rsid w:val="004F64E7"/>
    <w:rsid w:val="0051341C"/>
    <w:rsid w:val="00530181"/>
    <w:rsid w:val="00611EAC"/>
    <w:rsid w:val="006239EA"/>
    <w:rsid w:val="00672197"/>
    <w:rsid w:val="00726964"/>
    <w:rsid w:val="00771F1A"/>
    <w:rsid w:val="007A438C"/>
    <w:rsid w:val="007C2B51"/>
    <w:rsid w:val="0089396E"/>
    <w:rsid w:val="008B68DE"/>
    <w:rsid w:val="008F7B5B"/>
    <w:rsid w:val="0095362F"/>
    <w:rsid w:val="009C75B1"/>
    <w:rsid w:val="00AD6121"/>
    <w:rsid w:val="00AD6953"/>
    <w:rsid w:val="00BB2711"/>
    <w:rsid w:val="00BB6F80"/>
    <w:rsid w:val="00BC413E"/>
    <w:rsid w:val="00C65570"/>
    <w:rsid w:val="00CB2369"/>
    <w:rsid w:val="00D575C2"/>
    <w:rsid w:val="00DB2B09"/>
    <w:rsid w:val="00E33A7C"/>
    <w:rsid w:val="00E63D00"/>
    <w:rsid w:val="00F40909"/>
    <w:rsid w:val="00F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DED3"/>
  <w15:docId w15:val="{76CFB820-4C8D-43C8-956D-FC9C55C3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D9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491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91BD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1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91B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D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49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A5AF-2E48-4F43-B2B1-7382D926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BUH_01</dc:creator>
  <cp:keywords/>
  <dc:description/>
  <cp:lastModifiedBy>Пользователь</cp:lastModifiedBy>
  <cp:revision>14</cp:revision>
  <cp:lastPrinted>2024-03-19T10:19:00Z</cp:lastPrinted>
  <dcterms:created xsi:type="dcterms:W3CDTF">2024-03-18T11:14:00Z</dcterms:created>
  <dcterms:modified xsi:type="dcterms:W3CDTF">2024-04-01T09:31:00Z</dcterms:modified>
</cp:coreProperties>
</file>