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E82AB3">
        <w:rPr>
          <w:rFonts w:ascii="Times New Roman" w:hAnsi="Times New Roman" w:cs="Times New Roman"/>
          <w:color w:val="000000"/>
          <w:sz w:val="24"/>
        </w:rPr>
        <w:t>12</w:t>
      </w:r>
      <w:r w:rsidRPr="009417B3">
        <w:rPr>
          <w:rFonts w:ascii="Times New Roman" w:hAnsi="Times New Roman" w:cs="Times New Roman"/>
          <w:color w:val="000000"/>
          <w:sz w:val="24"/>
        </w:rPr>
        <w:t xml:space="preserve">» </w:t>
      </w:r>
      <w:r w:rsidR="00E82AB3">
        <w:rPr>
          <w:rFonts w:ascii="Times New Roman" w:hAnsi="Times New Roman" w:cs="Times New Roman"/>
          <w:color w:val="000000"/>
          <w:sz w:val="24"/>
        </w:rPr>
        <w:t>березня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104916" w:rsidRPr="00104916">
              <w:rPr>
                <w:rFonts w:ascii="Times New Roman" w:hAnsi="Times New Roman" w:cs="Times New Roman"/>
                <w:b/>
                <w:color w:val="000000"/>
                <w:sz w:val="40"/>
                <w:szCs w:val="40"/>
              </w:rPr>
              <w:t xml:space="preserve">72410000-7 Послуги провайдерів </w:t>
            </w:r>
          </w:p>
          <w:p w:rsidR="00B6243B" w:rsidRPr="00B05F5B" w:rsidRDefault="00533B1B" w:rsidP="00104916">
            <w:pPr>
              <w:jc w:val="center"/>
              <w:rPr>
                <w:rFonts w:ascii="Times New Roman" w:hAnsi="Times New Roman" w:cs="Times New Roman"/>
                <w:b/>
                <w:bCs/>
                <w:sz w:val="40"/>
                <w:szCs w:val="40"/>
                <w:u w:val="single"/>
              </w:rPr>
            </w:pPr>
            <w:r w:rsidRPr="00533B1B">
              <w:rPr>
                <w:rFonts w:ascii="Times New Roman" w:hAnsi="Times New Roman" w:cs="Times New Roman"/>
                <w:b/>
                <w:color w:val="000000"/>
                <w:sz w:val="40"/>
                <w:szCs w:val="40"/>
              </w:rPr>
              <w:t xml:space="preserve"> </w:t>
            </w:r>
            <w:r w:rsidR="00E82AB3" w:rsidRPr="00E82AB3">
              <w:rPr>
                <w:rFonts w:ascii="Times New Roman" w:hAnsi="Times New Roman" w:cs="Times New Roman"/>
                <w:b/>
                <w:color w:val="000000"/>
                <w:sz w:val="40"/>
                <w:szCs w:val="40"/>
              </w:rPr>
              <w:t>Послуги передачі даних</w:t>
            </w:r>
            <w:r w:rsidR="00104916">
              <w:rPr>
                <w:rFonts w:ascii="Times New Roman" w:hAnsi="Times New Roman" w:cs="Times New Roman"/>
                <w:b/>
                <w:color w:val="000000"/>
                <w:sz w:val="40"/>
                <w:szCs w:val="40"/>
              </w:rPr>
              <w:t xml:space="preserve"> (інтернет)</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lastRenderedPageBreak/>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E82AB3" w:rsidP="006A47F6">
            <w:pPr>
              <w:spacing w:before="150" w:after="150"/>
              <w:rPr>
                <w:rFonts w:ascii="Times New Roman" w:eastAsia="Times New Roman" w:hAnsi="Times New Roman" w:cs="Times New Roman"/>
                <w:sz w:val="24"/>
                <w:szCs w:val="24"/>
                <w:lang w:eastAsia="ru-RU"/>
              </w:rPr>
            </w:pPr>
            <w:r w:rsidRPr="00E82AB3">
              <w:rPr>
                <w:rFonts w:ascii="Times New Roman" w:hAnsi="Times New Roman"/>
                <w:sz w:val="24"/>
                <w:szCs w:val="24"/>
                <w:lang w:eastAsia="en-US"/>
              </w:rPr>
              <w:t>Послуги телефонного зв’язку та передачі даних</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E82AB3"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bookmarkStart w:id="0" w:name="_GoBack"/>
            <w:r w:rsidR="00E82AB3" w:rsidRPr="00E82AB3">
              <w:rPr>
                <w:rFonts w:ascii="Times New Roman" w:hAnsi="Times New Roman"/>
                <w:sz w:val="24"/>
                <w:szCs w:val="24"/>
                <w:lang w:eastAsia="en-US"/>
              </w:rPr>
              <w:t xml:space="preserve">72411000-4 Постачальники Інтернет-послуг </w:t>
            </w:r>
            <w:bookmarkEnd w:id="0"/>
          </w:p>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lastRenderedPageBreak/>
              <w:t>Основний CPV код (для визначення предмета закупівлі) та його назва</w:t>
            </w:r>
          </w:p>
          <w:p w:rsidR="00FC691A" w:rsidRDefault="00FC691A" w:rsidP="00104916">
            <w:pPr>
              <w:spacing w:before="150" w:after="150" w:line="256" w:lineRule="auto"/>
              <w:rPr>
                <w:rFonts w:ascii="Times New Roman" w:eastAsia="Times New Roman" w:hAnsi="Times New Roman"/>
                <w:sz w:val="24"/>
                <w:szCs w:val="24"/>
                <w:lang w:eastAsia="ru-RU"/>
              </w:rPr>
            </w:pPr>
            <w:r>
              <w:rPr>
                <w:rFonts w:ascii="Times New Roman" w:hAnsi="Times New Roman"/>
                <w:sz w:val="24"/>
                <w:szCs w:val="24"/>
                <w:lang w:eastAsia="en-US"/>
              </w:rPr>
              <w:t xml:space="preserve">ДК 021:2015 код </w:t>
            </w:r>
            <w:r w:rsidR="00104916" w:rsidRPr="00104916">
              <w:rPr>
                <w:rFonts w:ascii="Times New Roman" w:hAnsi="Times New Roman"/>
                <w:sz w:val="24"/>
                <w:szCs w:val="24"/>
                <w:lang w:eastAsia="en-US"/>
              </w:rPr>
              <w:t>72410000-7 Послуги провайдерів Послуги передачі даних (інтернет)</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104916">
              <w:rPr>
                <w:rFonts w:ascii="Times New Roman" w:hAnsi="Times New Roman"/>
                <w:b/>
                <w:lang w:val="uk-UA" w:eastAsia="ru-RU"/>
              </w:rPr>
              <w:t xml:space="preserve">7 </w:t>
            </w:r>
            <w:proofErr w:type="spellStart"/>
            <w:r w:rsidR="00104916">
              <w:rPr>
                <w:rFonts w:ascii="Times New Roman" w:hAnsi="Times New Roman"/>
                <w:b/>
                <w:lang w:val="uk-UA" w:eastAsia="ru-RU"/>
              </w:rPr>
              <w:t>посл</w:t>
            </w:r>
            <w:proofErr w:type="spellEnd"/>
            <w:r w:rsidR="00104916">
              <w:rPr>
                <w:rFonts w:ascii="Times New Roman" w:hAnsi="Times New Roman"/>
                <w:b/>
                <w:lang w:val="uk-UA" w:eastAsia="ru-RU"/>
              </w:rPr>
              <w:t>.</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AD700F">
              <w:rPr>
                <w:rFonts w:ascii="Times New Roman" w:hAnsi="Times New Roman" w:cs="Times New Roman"/>
                <w:sz w:val="24"/>
                <w:szCs w:val="24"/>
              </w:rPr>
              <w:lastRenderedPageBreak/>
              <w:t>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автоматично зупиняє перебіг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w:t>
            </w:r>
            <w:r>
              <w:rPr>
                <w:rFonts w:ascii="Times New Roman" w:eastAsia="Times New Roman" w:hAnsi="Times New Roman" w:cs="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Pr>
                <w:rFonts w:ascii="Times New Roman" w:eastAsia="Times New Roman" w:hAnsi="Times New Roman" w:cs="Times New Roman"/>
                <w:sz w:val="24"/>
                <w:szCs w:val="24"/>
              </w:rPr>
              <w:lastRenderedPageBreak/>
              <w:t>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3) керівника учасника процедури закупівлі, фізичну </w:t>
            </w:r>
            <w:r w:rsidRPr="00DC04F7">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w:t>
            </w:r>
            <w:r w:rsidRPr="00DC04F7">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крім випадків, коли доступ до такої </w:t>
            </w:r>
            <w:r w:rsidRPr="00DC04F7">
              <w:rPr>
                <w:rFonts w:ascii="Times New Roman" w:eastAsia="Times New Roman" w:hAnsi="Times New Roman" w:cs="Times New Roman"/>
                <w:sz w:val="24"/>
                <w:szCs w:val="24"/>
              </w:rPr>
              <w:lastRenderedPageBreak/>
              <w:t>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lastRenderedPageBreak/>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8D1CA7">
              <w:rPr>
                <w:rFonts w:ascii="Times New Roman" w:eastAsia="Times New Roman" w:hAnsi="Times New Roman" w:cs="Times New Roman"/>
                <w:sz w:val="24"/>
                <w:szCs w:val="24"/>
              </w:rPr>
              <w:t>02</w:t>
            </w:r>
            <w:r w:rsidRPr="00422995">
              <w:rPr>
                <w:rFonts w:ascii="Times New Roman" w:eastAsia="Times New Roman" w:hAnsi="Times New Roman" w:cs="Times New Roman"/>
                <w:sz w:val="24"/>
                <w:szCs w:val="24"/>
              </w:rPr>
              <w:t>.</w:t>
            </w:r>
            <w:r w:rsidR="003E4552">
              <w:rPr>
                <w:rFonts w:ascii="Times New Roman" w:eastAsia="Times New Roman" w:hAnsi="Times New Roman" w:cs="Times New Roman"/>
                <w:sz w:val="24"/>
                <w:szCs w:val="24"/>
              </w:rPr>
              <w:t>0</w:t>
            </w:r>
            <w:r w:rsidR="008D1CA7">
              <w:rPr>
                <w:rFonts w:ascii="Times New Roman" w:eastAsia="Times New Roman" w:hAnsi="Times New Roman" w:cs="Times New Roman"/>
                <w:sz w:val="24"/>
                <w:szCs w:val="24"/>
              </w:rPr>
              <w:t>3</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Розкриття тендерних пропозицій здійснюється відповідно до статті 28 Закону (положення абзацу </w:t>
            </w:r>
            <w:r w:rsidRPr="00C162E0">
              <w:rPr>
                <w:rFonts w:ascii="Times New Roman" w:eastAsia="Times New Roman" w:hAnsi="Times New Roman" w:cs="Times New Roman"/>
                <w:b/>
                <w:sz w:val="24"/>
                <w:szCs w:val="24"/>
              </w:rPr>
              <w:lastRenderedPageBreak/>
              <w:t>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C162E0">
              <w:rPr>
                <w:rFonts w:ascii="Times New Roman" w:eastAsia="Times New Roman" w:hAnsi="Times New Roman" w:cs="Times New Roman"/>
                <w:b/>
                <w:sz w:val="24"/>
                <w:szCs w:val="24"/>
                <w:highlight w:val="white"/>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C162E0">
              <w:rPr>
                <w:rFonts w:ascii="Times New Roman" w:eastAsia="Times New Roman" w:hAnsi="Times New Roman" w:cs="Times New Roman"/>
                <w:b/>
                <w:sz w:val="24"/>
                <w:szCs w:val="24"/>
                <w:highlight w:val="white"/>
              </w:rPr>
              <w:lastRenderedPageBreak/>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C162E0">
              <w:rPr>
                <w:rFonts w:ascii="Times New Roman" w:eastAsia="Times New Roman" w:hAnsi="Times New Roman" w:cs="Times New Roman"/>
                <w:b/>
                <w:sz w:val="24"/>
                <w:szCs w:val="24"/>
                <w:highlight w:val="white"/>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DC04F7">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DC04F7">
              <w:rPr>
                <w:rFonts w:ascii="Times New Roman" w:eastAsia="Times New Roman" w:hAnsi="Times New Roman" w:cs="Times New Roman"/>
                <w:color w:val="000000"/>
                <w:sz w:val="24"/>
                <w:szCs w:val="24"/>
              </w:rPr>
              <w:lastRenderedPageBreak/>
              <w:t>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F960ED">
              <w:rPr>
                <w:rFonts w:ascii="Times New Roman" w:eastAsia="Times New Roman" w:hAnsi="Times New Roman" w:cs="Times New Roman"/>
                <w:b/>
                <w:sz w:val="24"/>
                <w:szCs w:val="24"/>
                <w:highlight w:val="white"/>
              </w:rPr>
              <w:lastRenderedPageBreak/>
              <w:t>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w:t>
            </w:r>
            <w:r w:rsidRPr="00F960ED">
              <w:rPr>
                <w:rFonts w:ascii="Times New Roman" w:eastAsia="Times New Roman" w:hAnsi="Times New Roman" w:cs="Times New Roman"/>
                <w:b/>
                <w:sz w:val="24"/>
                <w:szCs w:val="24"/>
                <w:highlight w:val="white"/>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w:t>
            </w:r>
            <w:r>
              <w:rPr>
                <w:rFonts w:ascii="Times New Roman" w:eastAsia="Times New Roman" w:hAnsi="Times New Roman" w:cs="Times New Roman"/>
                <w:sz w:val="24"/>
                <w:szCs w:val="24"/>
                <w:highlight w:val="white"/>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w:t>
            </w:r>
            <w:r w:rsidRPr="00DC04F7">
              <w:rPr>
                <w:rFonts w:ascii="Times New Roman" w:eastAsia="Times New Roman" w:hAnsi="Times New Roman" w:cs="Times New Roman"/>
                <w:sz w:val="24"/>
                <w:szCs w:val="24"/>
              </w:rPr>
              <w:lastRenderedPageBreak/>
              <w:t xml:space="preserve">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w:t>
            </w:r>
            <w:r w:rsidRPr="00AD700F">
              <w:rPr>
                <w:rFonts w:ascii="Times New Roman" w:hAnsi="Times New Roman" w:cs="Times New Roman"/>
                <w:sz w:val="24"/>
                <w:szCs w:val="24"/>
              </w:rPr>
              <w:lastRenderedPageBreak/>
              <w:t xml:space="preserve">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448EF"/>
    <w:rsid w:val="000670B5"/>
    <w:rsid w:val="00084172"/>
    <w:rsid w:val="000911BD"/>
    <w:rsid w:val="000C3D56"/>
    <w:rsid w:val="000C7DCA"/>
    <w:rsid w:val="000D21D0"/>
    <w:rsid w:val="00104916"/>
    <w:rsid w:val="00142242"/>
    <w:rsid w:val="00144F8C"/>
    <w:rsid w:val="002175D1"/>
    <w:rsid w:val="0024289E"/>
    <w:rsid w:val="002A3364"/>
    <w:rsid w:val="002D0BE4"/>
    <w:rsid w:val="00313348"/>
    <w:rsid w:val="00361C32"/>
    <w:rsid w:val="003E4552"/>
    <w:rsid w:val="003E73A6"/>
    <w:rsid w:val="00407EFA"/>
    <w:rsid w:val="00411AEB"/>
    <w:rsid w:val="00422995"/>
    <w:rsid w:val="004657B5"/>
    <w:rsid w:val="004B7828"/>
    <w:rsid w:val="004E535A"/>
    <w:rsid w:val="00522847"/>
    <w:rsid w:val="005261E0"/>
    <w:rsid w:val="00533B1B"/>
    <w:rsid w:val="00551528"/>
    <w:rsid w:val="005537FF"/>
    <w:rsid w:val="00575B52"/>
    <w:rsid w:val="00585D49"/>
    <w:rsid w:val="00592C5B"/>
    <w:rsid w:val="005C6187"/>
    <w:rsid w:val="006222F3"/>
    <w:rsid w:val="00632692"/>
    <w:rsid w:val="00655727"/>
    <w:rsid w:val="00670F4F"/>
    <w:rsid w:val="006B5ADD"/>
    <w:rsid w:val="006E0906"/>
    <w:rsid w:val="0073513C"/>
    <w:rsid w:val="0076466C"/>
    <w:rsid w:val="00776139"/>
    <w:rsid w:val="007B4095"/>
    <w:rsid w:val="008004DF"/>
    <w:rsid w:val="00807D57"/>
    <w:rsid w:val="00824C99"/>
    <w:rsid w:val="0085577D"/>
    <w:rsid w:val="00872966"/>
    <w:rsid w:val="008C679F"/>
    <w:rsid w:val="008D1CA7"/>
    <w:rsid w:val="008D61FE"/>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B448A"/>
    <w:rsid w:val="00BB4D0C"/>
    <w:rsid w:val="00BD666F"/>
    <w:rsid w:val="00C162E0"/>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E82AB3"/>
    <w:rsid w:val="00F0316C"/>
    <w:rsid w:val="00F960ED"/>
    <w:rsid w:val="00FA049E"/>
    <w:rsid w:val="00FB3514"/>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9E3A"/>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28</Pages>
  <Words>39045</Words>
  <Characters>22257</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2024-02-01T17:57:00Z</dcterms:created>
  <dcterms:modified xsi:type="dcterms:W3CDTF">2024-03-12T10:57:00Z</dcterms:modified>
</cp:coreProperties>
</file>