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5A4B0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A7125B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1.1. Продавець зобов'язується передати у власність Покупцеві, а Покупець прийняти та оплатити предмет закупівлі: </w:t>
      </w:r>
      <w:r w:rsidRPr="00A331DD">
        <w:rPr>
          <w:rStyle w:val="FontStyle16"/>
          <w:rFonts w:cs="Times New Roman"/>
          <w:sz w:val="22"/>
        </w:rPr>
        <w:t>(</w:t>
      </w:r>
      <w:r w:rsidRPr="00A331DD">
        <w:rPr>
          <w:rFonts w:ascii="Times New Roman" w:hAnsi="Times New Roman" w:cs="Times New Roman"/>
        </w:rPr>
        <w:t xml:space="preserve">код за </w:t>
      </w:r>
      <w:proofErr w:type="spellStart"/>
      <w:r w:rsidR="00CF6323" w:rsidRPr="00662149">
        <w:rPr>
          <w:rFonts w:ascii="Times New Roman" w:hAnsi="Times New Roman" w:cs="Times New Roman"/>
          <w:b/>
          <w:color w:val="000000"/>
          <w:u w:val="single"/>
        </w:rPr>
        <w:t>ДК</w:t>
      </w:r>
      <w:proofErr w:type="spellEnd"/>
      <w:r w:rsidR="00CF6323" w:rsidRPr="00662149">
        <w:rPr>
          <w:rFonts w:ascii="Times New Roman" w:hAnsi="Times New Roman" w:cs="Times New Roman"/>
          <w:b/>
          <w:color w:val="000000"/>
          <w:u w:val="single"/>
        </w:rPr>
        <w:t xml:space="preserve"> 021:2015 код </w:t>
      </w:r>
      <w:r w:rsidR="00CF6323" w:rsidRPr="00B6151B">
        <w:rPr>
          <w:rFonts w:ascii="Times New Roman" w:hAnsi="Times New Roman" w:cs="Times New Roman"/>
          <w:b/>
          <w:u w:val="single"/>
        </w:rPr>
        <w:t>15</w:t>
      </w:r>
      <w:r w:rsidR="007F0040" w:rsidRPr="007F0040">
        <w:rPr>
          <w:rFonts w:ascii="Times New Roman" w:hAnsi="Times New Roman" w:cs="Times New Roman"/>
          <w:b/>
          <w:u w:val="single"/>
        </w:rPr>
        <w:t>53</w:t>
      </w:r>
      <w:r w:rsidR="00CF6323" w:rsidRPr="00B6151B">
        <w:rPr>
          <w:rFonts w:ascii="Times New Roman" w:hAnsi="Times New Roman" w:cs="Times New Roman"/>
          <w:b/>
          <w:u w:val="single"/>
        </w:rPr>
        <w:t xml:space="preserve">0000-2  </w:t>
      </w:r>
      <w:r w:rsidR="007F0040" w:rsidRPr="007F0040">
        <w:rPr>
          <w:rFonts w:ascii="Times New Roman" w:hAnsi="Times New Roman" w:cs="Times New Roman"/>
          <w:b/>
          <w:u w:val="single"/>
          <w:lang w:val="ru-RU"/>
        </w:rPr>
        <w:t xml:space="preserve">Вершкове масло (Вершкове масло) </w:t>
      </w:r>
      <w:r w:rsidRPr="00A331DD">
        <w:rPr>
          <w:rStyle w:val="FontStyle16"/>
          <w:rFonts w:cs="Times New Roman"/>
          <w:sz w:val="22"/>
        </w:rPr>
        <w:t>ідентифікатор закупівлі _______________</w:t>
      </w:r>
      <w:r w:rsidRPr="00CF6323">
        <w:rPr>
          <w:rStyle w:val="FontStyle16"/>
          <w:rFonts w:cs="Times New Roman"/>
          <w:sz w:val="22"/>
        </w:rPr>
        <w:t>________</w:t>
      </w:r>
      <w:r w:rsidRPr="00A331DD">
        <w:rPr>
          <w:rStyle w:val="FontStyle16"/>
          <w:rFonts w:cs="Times New Roman"/>
          <w:sz w:val="22"/>
        </w:rPr>
        <w:t>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22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 xml:space="preserve">24249, Вінницька область, Томашпільський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22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lastRenderedPageBreak/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DC3DB6">
        <w:rPr>
          <w:rFonts w:ascii="Times New Roman" w:hAnsi="Times New Roman"/>
          <w:b/>
          <w:kern w:val="1"/>
          <w:szCs w:val="24"/>
        </w:rPr>
        <w:t>XII</w:t>
      </w:r>
      <w:r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DC3DB6">
        <w:rPr>
          <w:rFonts w:ascii="Times New Roman" w:hAnsi="Times New Roman"/>
          <w:szCs w:val="24"/>
        </w:rPr>
        <w:t>22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3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4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6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9"/>
  </w:num>
  <w:num w:numId="3">
    <w:abstractNumId w:val="36"/>
  </w:num>
  <w:num w:numId="4">
    <w:abstractNumId w:val="28"/>
  </w:num>
  <w:num w:numId="5">
    <w:abstractNumId w:val="25"/>
  </w:num>
  <w:num w:numId="6">
    <w:abstractNumId w:val="32"/>
  </w:num>
  <w:num w:numId="7">
    <w:abstractNumId w:val="26"/>
  </w:num>
  <w:num w:numId="8">
    <w:abstractNumId w:val="11"/>
  </w:num>
  <w:num w:numId="9">
    <w:abstractNumId w:val="12"/>
  </w:num>
  <w:num w:numId="10">
    <w:abstractNumId w:val="31"/>
  </w:num>
  <w:num w:numId="11">
    <w:abstractNumId w:val="18"/>
  </w:num>
  <w:num w:numId="12">
    <w:abstractNumId w:val="22"/>
  </w:num>
  <w:num w:numId="13">
    <w:abstractNumId w:val="14"/>
  </w:num>
  <w:num w:numId="14">
    <w:abstractNumId w:val="17"/>
  </w:num>
  <w:num w:numId="15">
    <w:abstractNumId w:val="27"/>
  </w:num>
  <w:num w:numId="16">
    <w:abstractNumId w:val="15"/>
  </w:num>
  <w:num w:numId="17">
    <w:abstractNumId w:val="33"/>
  </w:num>
  <w:num w:numId="18">
    <w:abstractNumId w:val="30"/>
  </w:num>
  <w:num w:numId="19">
    <w:abstractNumId w:val="34"/>
  </w:num>
  <w:num w:numId="20">
    <w:abstractNumId w:val="20"/>
  </w:num>
  <w:num w:numId="21">
    <w:abstractNumId w:val="21"/>
  </w:num>
  <w:num w:numId="22">
    <w:abstractNumId w:val="35"/>
  </w:num>
  <w:num w:numId="23">
    <w:abstractNumId w:val="40"/>
  </w:num>
  <w:num w:numId="24">
    <w:abstractNumId w:val="24"/>
  </w:num>
  <w:num w:numId="25">
    <w:abstractNumId w:val="19"/>
  </w:num>
  <w:num w:numId="26">
    <w:abstractNumId w:val="37"/>
  </w:num>
  <w:num w:numId="27">
    <w:abstractNumId w:val="41"/>
  </w:num>
  <w:num w:numId="28">
    <w:abstractNumId w:val="16"/>
  </w:num>
  <w:num w:numId="29">
    <w:abstractNumId w:val="29"/>
  </w:num>
  <w:num w:numId="30">
    <w:abstractNumId w:val="38"/>
  </w:num>
  <w:num w:numId="31">
    <w:abstractNumId w:val="10"/>
  </w:num>
  <w:num w:numId="32">
    <w:abstractNumId w:val="2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6082B"/>
    <w:rsid w:val="001A228F"/>
    <w:rsid w:val="001B3E9A"/>
    <w:rsid w:val="001B4CFF"/>
    <w:rsid w:val="001C5CFF"/>
    <w:rsid w:val="001C62A5"/>
    <w:rsid w:val="001E7088"/>
    <w:rsid w:val="001F4AA0"/>
    <w:rsid w:val="002014EA"/>
    <w:rsid w:val="00215C00"/>
    <w:rsid w:val="0021730B"/>
    <w:rsid w:val="002245EB"/>
    <w:rsid w:val="002254D9"/>
    <w:rsid w:val="00275D56"/>
    <w:rsid w:val="002F2513"/>
    <w:rsid w:val="002F3870"/>
    <w:rsid w:val="00304ED8"/>
    <w:rsid w:val="003119FD"/>
    <w:rsid w:val="00321BBC"/>
    <w:rsid w:val="0034089F"/>
    <w:rsid w:val="00343911"/>
    <w:rsid w:val="003453D2"/>
    <w:rsid w:val="00352DEA"/>
    <w:rsid w:val="00362648"/>
    <w:rsid w:val="0037033E"/>
    <w:rsid w:val="003726A6"/>
    <w:rsid w:val="0037492A"/>
    <w:rsid w:val="003B6E11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EF9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70A20"/>
    <w:rsid w:val="007730CD"/>
    <w:rsid w:val="007770BF"/>
    <w:rsid w:val="00786F60"/>
    <w:rsid w:val="0079110A"/>
    <w:rsid w:val="007B7801"/>
    <w:rsid w:val="007F0040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341E"/>
    <w:rsid w:val="008D3C93"/>
    <w:rsid w:val="00911D1F"/>
    <w:rsid w:val="00917688"/>
    <w:rsid w:val="00925888"/>
    <w:rsid w:val="00955A8B"/>
    <w:rsid w:val="009871A4"/>
    <w:rsid w:val="009B261B"/>
    <w:rsid w:val="009C1176"/>
    <w:rsid w:val="009C746E"/>
    <w:rsid w:val="009D28EB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80355"/>
    <w:rsid w:val="00B8336F"/>
    <w:rsid w:val="00B87D32"/>
    <w:rsid w:val="00B904E8"/>
    <w:rsid w:val="00B932EE"/>
    <w:rsid w:val="00B94B83"/>
    <w:rsid w:val="00B96253"/>
    <w:rsid w:val="00BB71C5"/>
    <w:rsid w:val="00BB7CF1"/>
    <w:rsid w:val="00BC4AAD"/>
    <w:rsid w:val="00BE110A"/>
    <w:rsid w:val="00BE4223"/>
    <w:rsid w:val="00BF1B19"/>
    <w:rsid w:val="00BF4FCD"/>
    <w:rsid w:val="00C54832"/>
    <w:rsid w:val="00C75151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B24A9"/>
    <w:rsid w:val="00EB3B02"/>
    <w:rsid w:val="00F11024"/>
    <w:rsid w:val="00F422C7"/>
    <w:rsid w:val="00F53AED"/>
    <w:rsid w:val="00F54762"/>
    <w:rsid w:val="00F827E3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2379</Words>
  <Characters>13565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7</cp:revision>
  <dcterms:created xsi:type="dcterms:W3CDTF">2022-10-24T11:21:00Z</dcterms:created>
  <dcterms:modified xsi:type="dcterms:W3CDTF">2022-11-21T16:16:00Z</dcterms:modified>
</cp:coreProperties>
</file>