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FF52B0" w:rsidRPr="00306231" w:rsidRDefault="00FF52B0" w:rsidP="008623B9">
            <w:pPr>
              <w:snapToGrid w:val="0"/>
              <w:ind w:left="33" w:right="-5"/>
              <w:jc w:val="both"/>
              <w:rPr>
                <w:sz w:val="24"/>
                <w:szCs w:val="24"/>
                <w:lang w:val="uk-UA"/>
              </w:rPr>
            </w:pPr>
            <w:r w:rsidRPr="00306231">
              <w:rPr>
                <w:sz w:val="24"/>
                <w:szCs w:val="24"/>
                <w:lang w:val="uk-UA"/>
              </w:rPr>
              <w:t>Довідка про наявність в Учасника процедури закупівлі обладнання, матеріально-технічної бази та технологій, необхідних для поставки товару, що є предметом закупівлі (у довільній формі)</w:t>
            </w:r>
          </w:p>
        </w:tc>
      </w:tr>
      <w:tr w:rsidR="00FF52B0" w:rsidRPr="009C3490"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w:t>
            </w:r>
            <w:r w:rsidR="009C3490">
              <w:rPr>
                <w:sz w:val="24"/>
                <w:szCs w:val="24"/>
                <w:lang w:val="uk-UA"/>
              </w:rPr>
              <w:t>20</w:t>
            </w:r>
            <w:bookmarkStart w:id="0" w:name="_GoBack"/>
            <w:bookmarkEnd w:id="0"/>
            <w:r w:rsidRPr="00306231">
              <w:rPr>
                <w:sz w:val="24"/>
                <w:szCs w:val="24"/>
                <w:lang w:val="uk-UA"/>
              </w:rPr>
              <w:t xml:space="preserve">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FF52B0" w:rsidRPr="00306231"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306231"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Стан виконання</w:t>
                  </w:r>
                </w:p>
              </w:tc>
            </w:tr>
            <w:tr w:rsidR="00FF52B0" w:rsidRPr="00306231" w:rsidTr="008623B9">
              <w:tc>
                <w:tcPr>
                  <w:tcW w:w="2161"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r>
          </w:tbl>
          <w:p w:rsidR="00FF52B0" w:rsidRPr="00306231" w:rsidRDefault="00FF52B0" w:rsidP="008623B9">
            <w:pPr>
              <w:jc w:val="both"/>
              <w:rPr>
                <w:sz w:val="24"/>
                <w:szCs w:val="24"/>
                <w:lang w:val="uk-UA"/>
              </w:rPr>
            </w:pPr>
          </w:p>
          <w:p w:rsidR="00FF52B0" w:rsidRPr="00306231" w:rsidRDefault="00FF52B0" w:rsidP="008623B9">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306231" w:rsidRDefault="00FF52B0" w:rsidP="008623B9">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Default="00FF52B0" w:rsidP="008623B9">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F27A4D" w:rsidRPr="00306231" w:rsidRDefault="00F27A4D" w:rsidP="008623B9">
            <w:pPr>
              <w:jc w:val="both"/>
              <w:rPr>
                <w:sz w:val="24"/>
                <w:szCs w:val="24"/>
                <w:lang w:val="uk-UA"/>
              </w:rPr>
            </w:pPr>
          </w:p>
          <w:p w:rsidR="00FF52B0" w:rsidRPr="00306231" w:rsidRDefault="00FF52B0" w:rsidP="008623B9">
            <w:pPr>
              <w:jc w:val="both"/>
              <w:rPr>
                <w:color w:val="0000FF"/>
                <w:sz w:val="24"/>
                <w:szCs w:val="24"/>
                <w:lang w:val="uk-UA"/>
              </w:rPr>
            </w:pPr>
            <w:r w:rsidRPr="00306231">
              <w:rPr>
                <w:color w:val="0000FF"/>
                <w:sz w:val="24"/>
                <w:szCs w:val="24"/>
                <w:lang w:val="uk-UA"/>
              </w:rPr>
              <w:t>* Примітки:</w:t>
            </w:r>
          </w:p>
          <w:p w:rsidR="00FF52B0" w:rsidRPr="00306231" w:rsidRDefault="00FF52B0" w:rsidP="008623B9">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FF52B0" w:rsidRPr="00306231" w:rsidRDefault="00FF52B0" w:rsidP="008623B9">
            <w:pPr>
              <w:jc w:val="both"/>
              <w:rPr>
                <w:color w:val="0000FF"/>
                <w:sz w:val="24"/>
                <w:szCs w:val="24"/>
                <w:lang w:val="uk-UA"/>
              </w:rPr>
            </w:pPr>
            <w:r w:rsidRPr="00306231">
              <w:rPr>
                <w:color w:val="0000FF"/>
                <w:sz w:val="24"/>
                <w:szCs w:val="24"/>
                <w:lang w:val="uk-UA"/>
              </w:rPr>
              <w:t xml:space="preserve">• аналогічним договором відповідно до умов цієї документації є </w:t>
            </w:r>
            <w:r w:rsidRPr="00306231">
              <w:rPr>
                <w:color w:val="0000FF"/>
                <w:sz w:val="24"/>
                <w:szCs w:val="24"/>
                <w:lang w:val="uk-UA"/>
              </w:rPr>
              <w:lastRenderedPageBreak/>
              <w:t>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86BF3">
        <w:rPr>
          <w:color w:val="000000" w:themeColor="text1"/>
          <w:sz w:val="24"/>
          <w:szCs w:val="24"/>
          <w:lang w:val="uk-UA"/>
        </w:rPr>
        <w:t>7</w:t>
      </w:r>
      <w:r w:rsidRPr="00306231">
        <w:rPr>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F86BF3">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86BF3">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9C3490"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306231" w:rsidTr="00322AF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F86BF3">
            <w:pPr>
              <w:ind w:right="140"/>
              <w:jc w:val="both"/>
              <w:rPr>
                <w:color w:val="000000" w:themeColor="text1"/>
                <w:sz w:val="20"/>
                <w:szCs w:val="20"/>
                <w:lang w:val="uk-UA"/>
              </w:rPr>
            </w:pPr>
            <w:r w:rsidRPr="00306231">
              <w:rPr>
                <w:color w:val="000000" w:themeColor="text1"/>
                <w:sz w:val="20"/>
                <w:szCs w:val="20"/>
                <w:lang w:val="uk-UA"/>
              </w:rPr>
              <w:t>(підпункт 6 пункт 4</w:t>
            </w:r>
            <w:r w:rsidR="00F86BF3">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322AF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b/>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9C3490"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(абзац 14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9C3490"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8D338C" w:rsidTr="006F353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8D338C" w:rsidP="00F86BF3">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Документ повинен бути не більше </w:t>
            </w:r>
            <w:proofErr w:type="spellStart"/>
            <w:r w:rsidRPr="00306231">
              <w:rPr>
                <w:b/>
                <w:color w:val="000000" w:themeColor="text1"/>
                <w:sz w:val="20"/>
                <w:szCs w:val="20"/>
                <w:lang w:val="uk-UA"/>
              </w:rPr>
              <w:t>тридцятиденної</w:t>
            </w:r>
            <w:proofErr w:type="spellEnd"/>
            <w:r w:rsidRPr="00306231">
              <w:rPr>
                <w:b/>
                <w:color w:val="000000" w:themeColor="text1"/>
                <w:sz w:val="20"/>
                <w:szCs w:val="20"/>
                <w:lang w:val="uk-UA"/>
              </w:rPr>
              <w:t xml:space="preserve"> давнини від дати подання документа.</w:t>
            </w:r>
            <w:r w:rsidRPr="00306231">
              <w:rPr>
                <w:color w:val="000000" w:themeColor="text1"/>
                <w:sz w:val="20"/>
                <w:szCs w:val="20"/>
                <w:lang w:val="uk-UA"/>
              </w:rPr>
              <w:t> </w:t>
            </w:r>
          </w:p>
        </w:tc>
      </w:tr>
      <w:tr w:rsidR="008D338C" w:rsidRPr="00306231" w:rsidTr="006F353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9C3490"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F86BF3">
            <w:pPr>
              <w:jc w:val="both"/>
              <w:rPr>
                <w:b/>
                <w:color w:val="000000" w:themeColor="text1"/>
                <w:sz w:val="20"/>
                <w:szCs w:val="20"/>
                <w:highlight w:val="yellow"/>
                <w:lang w:val="uk-UA"/>
              </w:rPr>
            </w:pPr>
            <w:r w:rsidRPr="00306231">
              <w:rPr>
                <w:b/>
                <w:color w:val="000000" w:themeColor="text1"/>
                <w:sz w:val="20"/>
                <w:szCs w:val="20"/>
                <w:lang w:val="uk-UA"/>
              </w:rPr>
              <w:t>(абзац 14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9C3490"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lastRenderedPageBreak/>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9C3490"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8C1AEC"/>
    <w:rsid w:val="008D338C"/>
    <w:rsid w:val="009C3490"/>
    <w:rsid w:val="00F27A4D"/>
    <w:rsid w:val="00F86BF3"/>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F437"/>
  <w15:docId w15:val="{1502456E-3BD0-4752-ACCA-C0236F1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8549</Words>
  <Characters>4874</Characters>
  <Application>Microsoft Office Word</Application>
  <DocSecurity>0</DocSecurity>
  <Lines>40</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2023-03-01T07:28:00Z</dcterms:created>
  <dcterms:modified xsi:type="dcterms:W3CDTF">2024-03-20T06:37:00Z</dcterms:modified>
</cp:coreProperties>
</file>