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53BC3" w14:textId="77777777" w:rsidR="00A470DB" w:rsidRDefault="00A470DB"/>
    <w:p w14:paraId="257B922E" w14:textId="77777777" w:rsidR="00A470DB" w:rsidRDefault="00A470DB"/>
    <w:p w14:paraId="05CF4418" w14:textId="354D411C" w:rsidR="0058075D" w:rsidRPr="005343E4" w:rsidRDefault="00A470DB">
      <w:pPr>
        <w:rPr>
          <w:rFonts w:ascii="Times New Roman" w:hAnsi="Times New Roman" w:cs="Times New Roman"/>
          <w:sz w:val="28"/>
          <w:szCs w:val="28"/>
        </w:rPr>
      </w:pPr>
      <w:r w:rsidRPr="005343E4">
        <w:rPr>
          <w:rFonts w:ascii="Times New Roman" w:hAnsi="Times New Roman" w:cs="Times New Roman"/>
          <w:sz w:val="28"/>
          <w:szCs w:val="28"/>
        </w:rPr>
        <w:t xml:space="preserve">На вимогу учасника закупівлі внесені зміни у додаток 4 в частині </w:t>
      </w:r>
      <w:r w:rsidRPr="00534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коефіцієнт опору теплопередачі - змінено із 0,75 на 0,9</w:t>
      </w:r>
      <w:r w:rsidRPr="00534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відповідно до ДБН </w:t>
      </w:r>
      <w:r w:rsidRPr="005343E4"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В.2.6-31:</w:t>
      </w:r>
      <w:r w:rsidRPr="005343E4">
        <w:rPr>
          <w:rStyle w:val="a3"/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2021 «Теплова ізоляція та енергоефективність будівель»</w:t>
      </w:r>
      <w:r w:rsidR="005343E4">
        <w:rPr>
          <w:rStyle w:val="a3"/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, який вступив в дію із 01.09.2022 року.</w:t>
      </w:r>
      <w:bookmarkStart w:id="0" w:name="_GoBack"/>
      <w:bookmarkEnd w:id="0"/>
    </w:p>
    <w:sectPr w:rsidR="0058075D" w:rsidRPr="00534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A8"/>
    <w:rsid w:val="005343E4"/>
    <w:rsid w:val="0058075D"/>
    <w:rsid w:val="00594ED8"/>
    <w:rsid w:val="007229A8"/>
    <w:rsid w:val="00A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1885"/>
  <w15:chartTrackingRefBased/>
  <w15:docId w15:val="{639C0FD9-EC76-49B7-840A-E20E070D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7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2024-02-15T15:00:00Z</dcterms:created>
  <dcterms:modified xsi:type="dcterms:W3CDTF">2024-02-15T15:02:00Z</dcterms:modified>
</cp:coreProperties>
</file>