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D" w:rsidRPr="00851EA5" w:rsidRDefault="00730AC4" w:rsidP="00816D5D">
      <w:pPr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51EA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r w:rsidR="00816D5D" w:rsidRPr="00851EA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</w:t>
      </w:r>
      <w:r w:rsidRPr="00851EA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816D5D"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Додаток 1</w:t>
      </w:r>
    </w:p>
    <w:p w:rsidR="00816D5D" w:rsidRPr="00851EA5" w:rsidRDefault="00816D5D" w:rsidP="00816D5D">
      <w:pPr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до тендерної документації</w:t>
      </w:r>
    </w:p>
    <w:p w:rsidR="00816D5D" w:rsidRPr="00851EA5" w:rsidRDefault="00816D5D" w:rsidP="00816D5D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851EA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Учасник не повинен відступати від даної форми.</w:t>
      </w:r>
    </w:p>
    <w:p w:rsidR="008441E4" w:rsidRPr="00851EA5" w:rsidRDefault="008441E4" w:rsidP="008441E4">
      <w:pPr>
        <w:keepNext/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441E4" w:rsidRPr="00851EA5" w:rsidRDefault="008441E4" w:rsidP="0084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51EA5">
        <w:rPr>
          <w:rFonts w:ascii="Times New Roman" w:eastAsia="Calibri" w:hAnsi="Times New Roman" w:cs="Times New Roman"/>
          <w:bCs/>
          <w:sz w:val="24"/>
          <w:szCs w:val="24"/>
        </w:rPr>
        <w:t>ФОРМА " ТЕНДЕРНА ПРОПОЗИЦІЯ"</w:t>
      </w:r>
    </w:p>
    <w:p w:rsidR="008441E4" w:rsidRPr="00851EA5" w:rsidRDefault="008441E4" w:rsidP="008441E4">
      <w:pPr>
        <w:keepNext/>
        <w:tabs>
          <w:tab w:val="left" w:pos="2160"/>
          <w:tab w:val="left" w:pos="3600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gramStart"/>
      <w:r w:rsidRPr="00851EA5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gramEnd"/>
      <w:r w:rsidRPr="00851EA5">
        <w:rPr>
          <w:rFonts w:ascii="Times New Roman" w:hAnsi="Times New Roman" w:cs="Times New Roman"/>
          <w:bCs/>
          <w:i/>
          <w:sz w:val="24"/>
          <w:szCs w:val="24"/>
        </w:rPr>
        <w:t xml:space="preserve"> БЛАНКУ УЧАСНИКА (за </w:t>
      </w:r>
      <w:proofErr w:type="spellStart"/>
      <w:r w:rsidRPr="00851EA5">
        <w:rPr>
          <w:rFonts w:ascii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851EA5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A56" w:rsidRPr="00851EA5" w:rsidRDefault="00F76A56" w:rsidP="00F76A56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51EA5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Всі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посилання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конкретну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торгівельну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марку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чи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фірму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, патент,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конструкцію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тип предмета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закупі</w:t>
      </w:r>
      <w:proofErr w:type="gram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вл</w:t>
      </w:r>
      <w:proofErr w:type="gramEnd"/>
      <w:r w:rsidRPr="00851EA5">
        <w:rPr>
          <w:rFonts w:ascii="Times New Roman" w:hAnsi="Times New Roman" w:cs="Times New Roman"/>
          <w:color w:val="FF0000"/>
          <w:sz w:val="24"/>
          <w:szCs w:val="24"/>
        </w:rPr>
        <w:t>і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джерело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його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походження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виробника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слід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читати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з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виразом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6A56" w:rsidRPr="00851EA5" w:rsidRDefault="00F76A56" w:rsidP="00F76A56">
      <w:pPr>
        <w:tabs>
          <w:tab w:val="left" w:pos="709"/>
        </w:tabs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51EA5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color w:val="FF0000"/>
          <w:sz w:val="24"/>
          <w:szCs w:val="24"/>
        </w:rPr>
        <w:t>еквівалент</w:t>
      </w:r>
      <w:proofErr w:type="spellEnd"/>
      <w:r w:rsidRPr="00851EA5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851EA5" w:rsidRPr="00851EA5" w:rsidRDefault="00851EA5" w:rsidP="00851EA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EA5">
        <w:rPr>
          <w:rFonts w:ascii="Times New Roman" w:hAnsi="Times New Roman" w:cs="Times New Roman"/>
          <w:sz w:val="24"/>
          <w:szCs w:val="24"/>
          <w:lang w:val="uk-UA"/>
        </w:rPr>
        <w:t>Технічне обслуговування та поточний ремонт службов</w:t>
      </w:r>
      <w:r w:rsidR="0036017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</w:t>
      </w:r>
      <w:r w:rsidR="0036017A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592BE9">
        <w:rPr>
          <w:rFonts w:ascii="Times New Roman" w:hAnsi="Times New Roman" w:cs="Times New Roman"/>
          <w:sz w:val="24"/>
          <w:szCs w:val="24"/>
          <w:lang w:val="uk-UA"/>
        </w:rPr>
        <w:t>Сумської митниці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6F05" w:rsidRPr="00DB6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Mazda</w:t>
      </w:r>
      <w:proofErr w:type="spellEnd"/>
      <w:r w:rsidR="00DB6F05" w:rsidRPr="00DB6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B6F05" w:rsidRPr="00DB6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Xedos</w:t>
      </w:r>
      <w:proofErr w:type="spellEnd"/>
      <w:r w:rsidR="00DB6F05" w:rsidRPr="00DB6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 ВМ4493СХ</w:t>
      </w:r>
      <w:r w:rsidR="00DB6F05" w:rsidRPr="00DB6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(згідно ДК 021:2015-50110000-9  послуги з ремонту і технічного обслуговування </w:t>
      </w:r>
      <w:proofErr w:type="spellStart"/>
      <w:r w:rsidRPr="00851EA5">
        <w:rPr>
          <w:rFonts w:ascii="Times New Roman" w:hAnsi="Times New Roman" w:cs="Times New Roman"/>
          <w:sz w:val="24"/>
          <w:szCs w:val="24"/>
          <w:lang w:val="uk-UA"/>
        </w:rPr>
        <w:t>мототранспортних</w:t>
      </w:r>
      <w:proofErr w:type="spellEnd"/>
      <w:r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засобів і супутнього обладнання).</w:t>
      </w:r>
    </w:p>
    <w:p w:rsidR="00851EA5" w:rsidRPr="00851EA5" w:rsidRDefault="00851EA5" w:rsidP="00851E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) / </w:t>
      </w:r>
      <w:r w:rsidRPr="00851EA5">
        <w:rPr>
          <w:rFonts w:ascii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) / </w:t>
      </w:r>
    </w:p>
    <w:p w:rsidR="008441E4" w:rsidRPr="00851EA5" w:rsidRDefault="008441E4" w:rsidP="008441E4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851EA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ind w:left="284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) / </w:t>
      </w:r>
      <w:r w:rsidRPr="00851E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, телефон, факс: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:</w:t>
      </w:r>
    </w:p>
    <w:p w:rsidR="008441E4" w:rsidRPr="00851EA5" w:rsidRDefault="008441E4" w:rsidP="008441E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eastAsia="Calibri" w:hAnsi="Times New Roman" w:cs="Times New Roman"/>
          <w:sz w:val="24"/>
          <w:szCs w:val="24"/>
        </w:rPr>
        <w:t>Керівництво</w:t>
      </w:r>
      <w:proofErr w:type="spellEnd"/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51EA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ІБ, посада, </w:t>
      </w:r>
      <w:proofErr w:type="spellStart"/>
      <w:r w:rsidRPr="00851EA5">
        <w:rPr>
          <w:rFonts w:ascii="Times New Roman" w:eastAsia="Calibri" w:hAnsi="Times New Roman" w:cs="Times New Roman"/>
          <w:sz w:val="24"/>
          <w:szCs w:val="24"/>
        </w:rPr>
        <w:t>контактні</w:t>
      </w:r>
      <w:proofErr w:type="spellEnd"/>
      <w:r w:rsidRPr="0085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eastAsia="Calibri" w:hAnsi="Times New Roman" w:cs="Times New Roman"/>
          <w:sz w:val="24"/>
          <w:szCs w:val="24"/>
        </w:rPr>
        <w:t>телефони</w:t>
      </w:r>
      <w:proofErr w:type="spellEnd"/>
      <w:r w:rsidRPr="00851E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41E4" w:rsidRPr="00851EA5" w:rsidRDefault="008441E4" w:rsidP="008441E4">
      <w:pPr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rPr>
          <w:rFonts w:ascii="Times New Roman" w:hAnsi="Times New Roman" w:cs="Times New Roman"/>
          <w:sz w:val="24"/>
          <w:szCs w:val="24"/>
        </w:rPr>
      </w:pPr>
      <w:r w:rsidRPr="00851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41E4" w:rsidRPr="00851EA5" w:rsidRDefault="008441E4" w:rsidP="008441E4">
      <w:pPr>
        <w:numPr>
          <w:ilvl w:val="0"/>
          <w:numId w:val="29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51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 xml:space="preserve">ІБ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:</w:t>
      </w:r>
    </w:p>
    <w:p w:rsidR="008441E4" w:rsidRPr="00851EA5" w:rsidRDefault="008441E4" w:rsidP="008441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pBdr>
          <w:top w:val="single" w:sz="4" w:space="1" w:color="auto"/>
        </w:pBd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41E4" w:rsidRPr="00851EA5" w:rsidRDefault="008441E4" w:rsidP="008441E4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про систему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r w:rsidR="00AB77A4" w:rsidRPr="00851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51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1E4" w:rsidRPr="00851EA5" w:rsidRDefault="008441E4" w:rsidP="008441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851EA5" w:rsidRDefault="008441E4" w:rsidP="008441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>!</w:t>
      </w:r>
    </w:p>
    <w:p w:rsidR="008441E4" w:rsidRPr="00851EA5" w:rsidRDefault="008441E4" w:rsidP="008441E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51E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51EA5">
        <w:rPr>
          <w:rFonts w:ascii="Times New Roman" w:hAnsi="Times New Roman" w:cs="Times New Roman"/>
          <w:sz w:val="24"/>
          <w:szCs w:val="24"/>
        </w:rPr>
        <w:t xml:space="preserve"> ставиться прочерк.</w:t>
      </w:r>
    </w:p>
    <w:p w:rsidR="008441E4" w:rsidRPr="00851EA5" w:rsidRDefault="008441E4" w:rsidP="008441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71D" w:rsidRPr="00851EA5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51EA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необхідні технічні, якісні та кількісні характеристики до предмета закупівлі, кваліфік</w:t>
      </w:r>
      <w:r w:rsidR="00AB77A4"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аційні критерії та інші вимоги з</w:t>
      </w:r>
      <w:r w:rsidRPr="00851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амовника</w:t>
      </w:r>
      <w:r w:rsidRPr="00851EA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</w:t>
      </w:r>
      <w:r w:rsidR="00AB77A4"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уповноважені на підписання д</w:t>
      </w:r>
      <w:r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оговору, маємо можливість та погоджуємося виконати вимоги </w:t>
      </w:r>
      <w:r w:rsidR="00AB77A4"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замовника та д</w:t>
      </w:r>
      <w:r w:rsidRPr="00851EA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оговору на умовах, зазначених у тендерній пропозиції за наступними цінами: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532"/>
        <w:gridCol w:w="6414"/>
        <w:gridCol w:w="1418"/>
        <w:gridCol w:w="996"/>
      </w:tblGrid>
      <w:tr w:rsidR="00851EA5" w:rsidRPr="00851EA5" w:rsidTr="00DB6F05">
        <w:tc>
          <w:tcPr>
            <w:tcW w:w="9468" w:type="dxa"/>
            <w:gridSpan w:val="5"/>
          </w:tcPr>
          <w:p w:rsidR="00851EA5" w:rsidRPr="00851EA5" w:rsidRDefault="00851EA5" w:rsidP="008B3E82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kern w:val="16"/>
              </w:rPr>
            </w:pPr>
          </w:p>
        </w:tc>
      </w:tr>
      <w:tr w:rsidR="00851EA5" w:rsidRPr="00851EA5" w:rsidTr="00DB6F05">
        <w:tc>
          <w:tcPr>
            <w:tcW w:w="9468" w:type="dxa"/>
            <w:gridSpan w:val="5"/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2835"/>
              <w:gridCol w:w="1134"/>
              <w:gridCol w:w="1450"/>
              <w:gridCol w:w="942"/>
            </w:tblGrid>
            <w:tr w:rsidR="00851EA5" w:rsidRPr="00851EA5" w:rsidTr="008B3E82">
              <w:tc>
                <w:tcPr>
                  <w:tcW w:w="1838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0" w:name="_Hlk151494069"/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Марка транспортного засобу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Рік випуску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Номер кузова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 xml:space="preserve">об’єм двигуна, </w:t>
                  </w:r>
                  <w:proofErr w:type="spellStart"/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куб.см</w:t>
                  </w:r>
                  <w:proofErr w:type="spellEnd"/>
                </w:p>
              </w:tc>
              <w:tc>
                <w:tcPr>
                  <w:tcW w:w="1450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 xml:space="preserve">реєстраційний номер 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851EA5" w:rsidRPr="00851EA5" w:rsidRDefault="00851EA5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851EA5">
                    <w:rPr>
                      <w:rFonts w:ascii="Times New Roman" w:hAnsi="Times New Roman" w:cs="Times New Roman"/>
                      <w:lang w:val="uk-UA"/>
                    </w:rPr>
                    <w:t>тип палива</w:t>
                  </w:r>
                </w:p>
              </w:tc>
            </w:tr>
            <w:tr w:rsidR="00851EA5" w:rsidRPr="00851EA5" w:rsidTr="008B3E82">
              <w:tc>
                <w:tcPr>
                  <w:tcW w:w="1838" w:type="dxa"/>
                  <w:shd w:val="clear" w:color="auto" w:fill="auto"/>
                </w:tcPr>
                <w:p w:rsidR="00851EA5" w:rsidRPr="00851EA5" w:rsidRDefault="00DB6F05" w:rsidP="008B3E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Mazda</w:t>
                  </w:r>
                  <w:proofErr w:type="spellEnd"/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Xedos</w:t>
                  </w:r>
                  <w:proofErr w:type="spellEnd"/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592BE9" w:rsidRDefault="00592BE9" w:rsidP="00DB6F05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200</w:t>
                  </w:r>
                  <w:r w:rsidR="00DB6F05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51EA5" w:rsidRPr="00851EA5" w:rsidRDefault="00DB6F05" w:rsidP="008B3E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JMZTA12L501401492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1EA5" w:rsidRPr="00592BE9" w:rsidRDefault="00DB6F05" w:rsidP="00592BE9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2497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:rsidR="00851EA5" w:rsidRPr="00851EA5" w:rsidRDefault="00DB6F05" w:rsidP="008B3E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B6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ВМ4493CX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851EA5" w:rsidRPr="00592BE9" w:rsidRDefault="00592BE9" w:rsidP="008B3E82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бензин</w:t>
                  </w:r>
                </w:p>
              </w:tc>
            </w:tr>
          </w:tbl>
          <w:p w:rsidR="00851EA5" w:rsidRPr="00851EA5" w:rsidRDefault="00851EA5" w:rsidP="008B3E82">
            <w:pPr>
              <w:rPr>
                <w:rFonts w:ascii="Times New Roman" w:hAnsi="Times New Roman" w:cs="Times New Roman"/>
                <w:kern w:val="16"/>
                <w:lang w:val="uk-UA"/>
              </w:rPr>
            </w:pPr>
          </w:p>
        </w:tc>
      </w:tr>
      <w:bookmarkEnd w:id="0"/>
      <w:tr w:rsidR="00851EA5" w:rsidRPr="00851EA5" w:rsidTr="00DB6F05">
        <w:tc>
          <w:tcPr>
            <w:tcW w:w="9468" w:type="dxa"/>
            <w:gridSpan w:val="5"/>
          </w:tcPr>
          <w:p w:rsidR="00851EA5" w:rsidRPr="00851EA5" w:rsidRDefault="00851EA5" w:rsidP="008B3E82">
            <w:pPr>
              <w:tabs>
                <w:tab w:val="left" w:pos="0"/>
              </w:tabs>
              <w:suppressAutoHyphens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51EA5" w:rsidRPr="00851EA5" w:rsidTr="00DB6F05">
        <w:tc>
          <w:tcPr>
            <w:tcW w:w="9468" w:type="dxa"/>
            <w:gridSpan w:val="5"/>
          </w:tcPr>
          <w:p w:rsidR="00851EA5" w:rsidRPr="00851EA5" w:rsidRDefault="00851EA5" w:rsidP="008B3E82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kern w:val="16"/>
                <w:lang w:val="uk-UA"/>
              </w:rPr>
            </w:pP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послуг, запчастин, матеріалів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356" w:type="dxa"/>
            <w:gridSpan w:val="4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запчастин та матеріалів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Пильник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шрусу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(ШРКШ) 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Spidan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0.026178 або аналог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Важіль задній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Febest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0525X9UP або аналог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Важіль правий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Mazda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T06034C00 або аналог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Важіль лівий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Mazda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T06034C50 або аналог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Пильник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Mazda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Т06034012 або аналог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Спрeй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видалення </w:t>
            </w:r>
            <w:proofErr w:type="spellStart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iржi</w:t>
            </w:r>
            <w:proofErr w:type="spellEnd"/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ML/RUST REMOVER SPREY або аналог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356" w:type="dxa"/>
            <w:gridSpan w:val="4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послуг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Зняття, встановлення важеля переднього верхнього лівого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Зняття, встановлення важеля переднього верхнього правого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Зняття, встановлення важеля задньої </w:t>
            </w:r>
            <w:proofErr w:type="spellStart"/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пiдвicки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Зняття, встановлення  пильника </w:t>
            </w:r>
            <w:proofErr w:type="spellStart"/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шрусу</w:t>
            </w:r>
            <w:proofErr w:type="spellEnd"/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(ШРКШ)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Зняття, встановлення  амортизатору переднього 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B6F05" w:rsidRPr="00DB6F05" w:rsidTr="00DB6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414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Розвал - сходження</w:t>
            </w:r>
          </w:p>
        </w:tc>
        <w:tc>
          <w:tcPr>
            <w:tcW w:w="1418" w:type="dxa"/>
            <w:shd w:val="clear" w:color="auto" w:fill="auto"/>
          </w:tcPr>
          <w:p w:rsidR="00DB6F05" w:rsidRPr="00DB6F05" w:rsidRDefault="00DB6F05" w:rsidP="001C340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92" w:type="dxa"/>
            <w:shd w:val="clear" w:color="auto" w:fill="auto"/>
          </w:tcPr>
          <w:p w:rsidR="00DB6F05" w:rsidRPr="00DB6F05" w:rsidRDefault="00DB6F05" w:rsidP="001C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6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51EA5" w:rsidRPr="00851EA5" w:rsidRDefault="00851EA5" w:rsidP="00851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1EA5" w:rsidRPr="00851EA5" w:rsidRDefault="00851EA5" w:rsidP="00851EA5">
      <w:pPr>
        <w:tabs>
          <w:tab w:val="left" w:pos="0"/>
        </w:tabs>
        <w:suppressAutoHyphens/>
        <w:spacing w:line="228" w:lineRule="auto"/>
        <w:jc w:val="both"/>
        <w:rPr>
          <w:rFonts w:ascii="Times New Roman" w:hAnsi="Times New Roman" w:cs="Times New Roman"/>
          <w:i/>
          <w:kern w:val="16"/>
          <w:lang w:val="uk-UA"/>
        </w:rPr>
      </w:pPr>
      <w:r w:rsidRPr="00851EA5">
        <w:rPr>
          <w:rFonts w:ascii="Times New Roman" w:hAnsi="Times New Roman" w:cs="Times New Roman"/>
          <w:i/>
          <w:kern w:val="16"/>
        </w:rPr>
        <w:t>Сума</w:t>
      </w:r>
      <w:r w:rsidRPr="00851EA5">
        <w:rPr>
          <w:rFonts w:ascii="Times New Roman" w:hAnsi="Times New Roman" w:cs="Times New Roman"/>
          <w:i/>
          <w:kern w:val="16"/>
          <w:lang w:val="uk-UA"/>
        </w:rPr>
        <w:t xml:space="preserve"> прописом:_________________________________________________________________</w:t>
      </w:r>
    </w:p>
    <w:p w:rsidR="00851EA5" w:rsidRPr="00851EA5" w:rsidRDefault="00851EA5" w:rsidP="00851EA5">
      <w:pPr>
        <w:tabs>
          <w:tab w:val="left" w:pos="0"/>
        </w:tabs>
        <w:suppressAutoHyphens/>
        <w:spacing w:line="228" w:lineRule="auto"/>
        <w:jc w:val="both"/>
        <w:rPr>
          <w:rFonts w:ascii="Times New Roman" w:hAnsi="Times New Roman" w:cs="Times New Roman"/>
          <w:i/>
          <w:kern w:val="16"/>
          <w:lang w:val="uk-UA"/>
        </w:rPr>
      </w:pPr>
    </w:p>
    <w:p w:rsidR="006E4727" w:rsidRPr="00851EA5" w:rsidRDefault="00851EA5" w:rsidP="00851EA5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 w:rsidRPr="00851EA5">
        <w:rPr>
          <w:rFonts w:ascii="Times New Roman" w:hAnsi="Times New Roman" w:cs="Times New Roman"/>
          <w:i/>
          <w:kern w:val="16"/>
          <w:lang w:val="uk-UA"/>
        </w:rPr>
        <w:t>______________________________________________________________________________. ф</w:t>
      </w:r>
      <w:r w:rsidR="006E4727" w:rsidRPr="00851EA5"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zh-CN"/>
        </w:rPr>
        <w:t>* у разі, якщо Учасник не є платником податку на додану вартість вказати ціну без податку на додану вартість,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Поданням своєї тендерної пропозиції учасник</w:t>
      </w:r>
      <w:bookmarkStart w:id="1" w:name="_GoBack"/>
      <w:bookmarkEnd w:id="1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: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lastRenderedPageBreak/>
        <w:t>- підтверджує, що інформація у тендерній пропозиції, яка є суттєвою для визначення результатів відкритих торгів є достовірною;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тендерна пропозиція подається з дотриманням чинного законодавства та нормативних актів України;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 повну і беззаперечну згоду з усіма</w:t>
      </w:r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умовами, що вказані в </w:t>
      </w:r>
      <w:proofErr w:type="spellStart"/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проєкті</w:t>
      </w:r>
      <w:proofErr w:type="spellEnd"/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оговору згідно вимог Додатку </w:t>
      </w:r>
      <w:r w:rsidR="00CB371D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5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 тендерної документації та зобов’язується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</w:t>
      </w:r>
      <w:r w:rsidR="00CB371D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переможця процедури закупівлі (у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випадку обґрунтованої необхідності строк для укладення Договору може бути продовжений до 60 днів);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його тендерна пропозиція буде дійсною, протягом терміну, визначеного в п. 4 розділу «</w:t>
      </w:r>
      <w:r w:rsidRPr="00851EA5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/>
        </w:rPr>
        <w:t>III. Інструкція з підготовки тендерної пропозиції»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та його пропозиція не підпадає під дію рішення/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-нь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-ні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 дію відповідним/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-ми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указом/</w:t>
      </w:r>
      <w:proofErr w:type="spellStart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-ами</w:t>
      </w:r>
      <w:proofErr w:type="spellEnd"/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тендерних пропозицій;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</w:t>
      </w:r>
      <w:r w:rsidR="00AB1CAA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(зі змінами)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851EA5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- підтверджує, що </w:t>
      </w:r>
      <w:r w:rsidR="00AB77A4"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з</w:t>
      </w:r>
      <w:r w:rsidRPr="00851EA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амовником не застосовувались встановлені господарським договором оперативно-господарські санкції (передбачені пунктом 4 частини 1, частини 2 статті 236 та  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</w:r>
    </w:p>
    <w:p w:rsidR="00F76A56" w:rsidRPr="00851EA5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56" w:rsidRPr="00851EA5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51EA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i/>
          <w:sz w:val="24"/>
          <w:szCs w:val="24"/>
        </w:rPr>
        <w:t>ідпис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особи,</w:t>
      </w:r>
    </w:p>
    <w:p w:rsidR="00F76A56" w:rsidRPr="00851EA5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1EA5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851EA5">
        <w:rPr>
          <w:rFonts w:ascii="Times New Roman" w:hAnsi="Times New Roman" w:cs="Times New Roman"/>
          <w:i/>
          <w:sz w:val="24"/>
          <w:szCs w:val="24"/>
        </w:rPr>
        <w:t xml:space="preserve">  особи – </w:t>
      </w:r>
      <w:proofErr w:type="spellStart"/>
      <w:proofErr w:type="gramStart"/>
      <w:r w:rsidRPr="00851EA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51EA5">
        <w:rPr>
          <w:rFonts w:ascii="Times New Roman" w:hAnsi="Times New Roman" w:cs="Times New Roman"/>
          <w:i/>
          <w:sz w:val="24"/>
          <w:szCs w:val="24"/>
        </w:rPr>
        <w:t>ідприємця</w:t>
      </w:r>
      <w:proofErr w:type="spellEnd"/>
    </w:p>
    <w:p w:rsidR="00F76A56" w:rsidRPr="00851EA5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A56" w:rsidRPr="00851EA5" w:rsidRDefault="00F76A56" w:rsidP="00F76A56">
      <w:pPr>
        <w:widowControl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Учасники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нерезиденти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подають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складі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своєї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передбачені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законодавством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країн</w:t>
      </w:r>
      <w:proofErr w:type="spellEnd"/>
      <w:proofErr w:type="gram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де вони </w:t>
      </w:r>
      <w:proofErr w:type="spellStart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зареєстровані</w:t>
      </w:r>
      <w:proofErr w:type="spellEnd"/>
      <w:r w:rsidRPr="00851EA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6A56" w:rsidRPr="00851EA5" w:rsidRDefault="00F76A56" w:rsidP="00F7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A56" w:rsidRPr="00851EA5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C5" w:rsidRPr="00851EA5" w:rsidRDefault="008D02C5" w:rsidP="00F76A56">
      <w:pPr>
        <w:suppressAutoHyphens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0070C0"/>
          <w:sz w:val="24"/>
          <w:szCs w:val="24"/>
          <w:lang w:eastAsia="uk-UA"/>
        </w:rPr>
      </w:pPr>
    </w:p>
    <w:sectPr w:rsidR="008D02C5" w:rsidRPr="00851EA5" w:rsidSect="006E4727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2C25C6D"/>
    <w:multiLevelType w:val="hybridMultilevel"/>
    <w:tmpl w:val="ABCADEF2"/>
    <w:lvl w:ilvl="0" w:tplc="A574E20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5B37"/>
    <w:multiLevelType w:val="hybridMultilevel"/>
    <w:tmpl w:val="7F4CF926"/>
    <w:lvl w:ilvl="0" w:tplc="B56C9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0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3"/>
  </w:num>
  <w:num w:numId="27">
    <w:abstractNumId w:val="27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1"/>
    <w:rsid w:val="000458F8"/>
    <w:rsid w:val="000A1D86"/>
    <w:rsid w:val="000F2DC5"/>
    <w:rsid w:val="0014760D"/>
    <w:rsid w:val="001665CA"/>
    <w:rsid w:val="001A557D"/>
    <w:rsid w:val="001F55FE"/>
    <w:rsid w:val="0020421B"/>
    <w:rsid w:val="002800C6"/>
    <w:rsid w:val="00296FC9"/>
    <w:rsid w:val="002B3232"/>
    <w:rsid w:val="002D489F"/>
    <w:rsid w:val="002E4592"/>
    <w:rsid w:val="002F3A6C"/>
    <w:rsid w:val="003242B8"/>
    <w:rsid w:val="0036017A"/>
    <w:rsid w:val="00360A26"/>
    <w:rsid w:val="003969D5"/>
    <w:rsid w:val="00431AAC"/>
    <w:rsid w:val="00432AE0"/>
    <w:rsid w:val="004E4C2C"/>
    <w:rsid w:val="005311F3"/>
    <w:rsid w:val="00560AC6"/>
    <w:rsid w:val="00592BE9"/>
    <w:rsid w:val="005F5C83"/>
    <w:rsid w:val="005F795F"/>
    <w:rsid w:val="0064666D"/>
    <w:rsid w:val="00650604"/>
    <w:rsid w:val="0067127B"/>
    <w:rsid w:val="006854E7"/>
    <w:rsid w:val="00692774"/>
    <w:rsid w:val="006A1129"/>
    <w:rsid w:val="006A3988"/>
    <w:rsid w:val="006E4727"/>
    <w:rsid w:val="007161CA"/>
    <w:rsid w:val="00730AC4"/>
    <w:rsid w:val="00816D5D"/>
    <w:rsid w:val="008441E4"/>
    <w:rsid w:val="00851EA5"/>
    <w:rsid w:val="008D02C5"/>
    <w:rsid w:val="008E5767"/>
    <w:rsid w:val="008F35DE"/>
    <w:rsid w:val="009B4F32"/>
    <w:rsid w:val="009B5F14"/>
    <w:rsid w:val="00A05733"/>
    <w:rsid w:val="00AB1CAA"/>
    <w:rsid w:val="00AB778F"/>
    <w:rsid w:val="00AB77A4"/>
    <w:rsid w:val="00B346FC"/>
    <w:rsid w:val="00B4135E"/>
    <w:rsid w:val="00B51491"/>
    <w:rsid w:val="00B554CA"/>
    <w:rsid w:val="00BD30F7"/>
    <w:rsid w:val="00C2492E"/>
    <w:rsid w:val="00CA2750"/>
    <w:rsid w:val="00CB371D"/>
    <w:rsid w:val="00CE5B32"/>
    <w:rsid w:val="00D277DE"/>
    <w:rsid w:val="00D60688"/>
    <w:rsid w:val="00DB0F1F"/>
    <w:rsid w:val="00DB5DD6"/>
    <w:rsid w:val="00DB6F05"/>
    <w:rsid w:val="00DD151D"/>
    <w:rsid w:val="00E57D22"/>
    <w:rsid w:val="00EB48EB"/>
    <w:rsid w:val="00EB7D0F"/>
    <w:rsid w:val="00EC5A12"/>
    <w:rsid w:val="00EC659C"/>
    <w:rsid w:val="00F768EC"/>
    <w:rsid w:val="00F76A56"/>
    <w:rsid w:val="00F90CD3"/>
    <w:rsid w:val="00FD260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2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Знак Знак Знак Знак Знак Знак Знак"/>
    <w:basedOn w:val="a"/>
    <w:rsid w:val="00851EA5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2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Знак Знак Знак Знак Знак Знак Знак"/>
    <w:basedOn w:val="a"/>
    <w:rsid w:val="00851EA5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4F38-2473-4DF7-A247-BF1F4EDC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Боброва Валентина Григорівна</cp:lastModifiedBy>
  <cp:revision>21</cp:revision>
  <cp:lastPrinted>2023-03-28T12:17:00Z</cp:lastPrinted>
  <dcterms:created xsi:type="dcterms:W3CDTF">2023-01-26T10:50:00Z</dcterms:created>
  <dcterms:modified xsi:type="dcterms:W3CDTF">2023-11-24T12:28:00Z</dcterms:modified>
</cp:coreProperties>
</file>