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366"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rsidR="000D2366"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rsidR="000D2366"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0D2366"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3</w:t>
      </w:r>
      <w:r w:rsidR="002517AB">
        <w:rPr>
          <w:rFonts w:ascii="Times New Roman" w:eastAsia="Times New Roman" w:hAnsi="Times New Roman" w:cs="Times New Roman"/>
          <w:sz w:val="24"/>
          <w:szCs w:val="24"/>
        </w:rPr>
        <w:t>1</w:t>
      </w:r>
      <w:r>
        <w:rPr>
          <w:rFonts w:ascii="Times New Roman" w:eastAsia="Times New Roman" w:hAnsi="Times New Roman" w:cs="Times New Roman"/>
          <w:sz w:val="24"/>
          <w:szCs w:val="24"/>
        </w:rPr>
        <w:t>.05.2023 № 3</w:t>
      </w:r>
    </w:p>
    <w:p w:rsidR="000D2366" w:rsidRDefault="000D2366">
      <w:pPr>
        <w:spacing w:after="0" w:line="240" w:lineRule="auto"/>
        <w:ind w:left="5952"/>
        <w:rPr>
          <w:rFonts w:ascii="Times New Roman" w:eastAsia="Times New Roman" w:hAnsi="Times New Roman" w:cs="Times New Roman"/>
          <w:sz w:val="24"/>
          <w:szCs w:val="24"/>
          <w:highlight w:val="white"/>
        </w:rPr>
      </w:pPr>
    </w:p>
    <w:p w:rsidR="000D2366" w:rsidRDefault="00000000">
      <w:pPr>
        <w:spacing w:after="0" w:line="240" w:lineRule="auto"/>
        <w:ind w:left="595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 </w:t>
      </w:r>
      <w:r w:rsidR="002517AB">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2517A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2517AB">
        <w:rPr>
          <w:rFonts w:ascii="Times New Roman" w:eastAsia="Times New Roman" w:hAnsi="Times New Roman" w:cs="Times New Roman"/>
          <w:sz w:val="24"/>
          <w:szCs w:val="24"/>
        </w:rPr>
        <w:t>ПРИХОДЬ</w:t>
      </w:r>
      <w:r>
        <w:rPr>
          <w:rFonts w:ascii="Times New Roman" w:eastAsia="Times New Roman" w:hAnsi="Times New Roman" w:cs="Times New Roman"/>
          <w:sz w:val="24"/>
          <w:szCs w:val="24"/>
        </w:rPr>
        <w:t>КО</w:t>
      </w:r>
    </w:p>
    <w:p w:rsidR="000D2366" w:rsidRDefault="000D2366">
      <w:pPr>
        <w:spacing w:after="0" w:line="240" w:lineRule="auto"/>
        <w:jc w:val="both"/>
        <w:rPr>
          <w:rFonts w:ascii="Times New Roman" w:eastAsia="Times New Roman" w:hAnsi="Times New Roman" w:cs="Times New Roman"/>
          <w:sz w:val="24"/>
          <w:szCs w:val="24"/>
        </w:rPr>
      </w:pPr>
    </w:p>
    <w:p w:rsidR="000D236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ТЕНДЕРНА ДОКУМЕНТАЦІЯ</w:t>
      </w:r>
    </w:p>
    <w:p w:rsidR="000D2366"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rsidR="000D2366"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rsidR="000D2366" w:rsidRDefault="000D2366">
      <w:pPr>
        <w:spacing w:after="0" w:line="240" w:lineRule="auto"/>
        <w:jc w:val="center"/>
        <w:rPr>
          <w:rFonts w:ascii="Times New Roman" w:eastAsia="Times New Roman" w:hAnsi="Times New Roman" w:cs="Times New Roman"/>
          <w:b/>
          <w:sz w:val="28"/>
          <w:szCs w:val="28"/>
        </w:rPr>
      </w:pPr>
    </w:p>
    <w:p w:rsidR="000D2366" w:rsidRDefault="00000000">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4"/>
          <w:szCs w:val="24"/>
          <w:highlight w:val="white"/>
        </w:rPr>
        <w:t>Поточний ремонт по усуненню аварій в житловому фонді багатоквартирного будинку</w:t>
      </w:r>
    </w:p>
    <w:p w:rsidR="000D2366" w:rsidRDefault="00000000">
      <w:pPr>
        <w:spacing w:after="0" w:line="240" w:lineRule="auto"/>
        <w:jc w:val="center"/>
        <w:rPr>
          <w:rFonts w:ascii="Times New Roman" w:eastAsia="Times New Roman" w:hAnsi="Times New Roman" w:cs="Times New Roman"/>
          <w:b/>
          <w:sz w:val="24"/>
          <w:szCs w:val="24"/>
          <w:highlight w:val="white"/>
        </w:rPr>
      </w:pPr>
      <w:bookmarkStart w:id="1" w:name="_heading=h.shcylpr8mh97" w:colFirst="0" w:colLast="0"/>
      <w:bookmarkEnd w:id="1"/>
      <w:r>
        <w:rPr>
          <w:rFonts w:ascii="Times New Roman" w:eastAsia="Times New Roman" w:hAnsi="Times New Roman" w:cs="Times New Roman"/>
          <w:b/>
          <w:sz w:val="24"/>
          <w:szCs w:val="24"/>
          <w:highlight w:val="white"/>
        </w:rPr>
        <w:t xml:space="preserve">за </w:t>
      </w:r>
      <w:proofErr w:type="spellStart"/>
      <w:r>
        <w:rPr>
          <w:rFonts w:ascii="Times New Roman" w:eastAsia="Times New Roman" w:hAnsi="Times New Roman" w:cs="Times New Roman"/>
          <w:b/>
          <w:sz w:val="24"/>
          <w:szCs w:val="24"/>
          <w:highlight w:val="white"/>
        </w:rPr>
        <w:t>адресою</w:t>
      </w:r>
      <w:proofErr w:type="spellEnd"/>
      <w:r>
        <w:rPr>
          <w:rFonts w:ascii="Times New Roman" w:eastAsia="Times New Roman" w:hAnsi="Times New Roman" w:cs="Times New Roman"/>
          <w:b/>
          <w:sz w:val="24"/>
          <w:szCs w:val="24"/>
          <w:highlight w:val="white"/>
        </w:rPr>
        <w:t xml:space="preserve">: проспект </w:t>
      </w:r>
      <w:r w:rsidR="002517AB" w:rsidRPr="002517AB">
        <w:rPr>
          <w:rFonts w:ascii="Times New Roman" w:eastAsia="Times New Roman" w:hAnsi="Times New Roman" w:cs="Times New Roman"/>
          <w:b/>
          <w:sz w:val="24"/>
          <w:szCs w:val="24"/>
          <w:highlight w:val="white"/>
        </w:rPr>
        <w:t>Льва Ландау, 46</w:t>
      </w:r>
      <w:r>
        <w:rPr>
          <w:rFonts w:ascii="Times New Roman" w:eastAsia="Times New Roman" w:hAnsi="Times New Roman" w:cs="Times New Roman"/>
          <w:b/>
          <w:sz w:val="24"/>
          <w:szCs w:val="24"/>
          <w:highlight w:val="white"/>
        </w:rPr>
        <w:t>, місто Харків</w:t>
      </w:r>
    </w:p>
    <w:p w:rsidR="000D2366"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sidR="002517AB">
        <w:rPr>
          <w:rFonts w:ascii="Times New Roman" w:eastAsia="Times New Roman" w:hAnsi="Times New Roman" w:cs="Times New Roman"/>
          <w:b/>
          <w:sz w:val="24"/>
          <w:szCs w:val="24"/>
          <w:highlight w:val="white"/>
        </w:rPr>
        <w:t xml:space="preserve">ДК </w:t>
      </w:r>
      <w:r>
        <w:rPr>
          <w:rFonts w:ascii="Times New Roman" w:eastAsia="Times New Roman" w:hAnsi="Times New Roman" w:cs="Times New Roman"/>
          <w:b/>
          <w:sz w:val="24"/>
          <w:szCs w:val="24"/>
          <w:highlight w:val="white"/>
        </w:rPr>
        <w:t>021:2015 - 45260000-7 Покрівельні роботи та інші спеціалізовані будівельні роботи)»</w:t>
      </w:r>
    </w:p>
    <w:p w:rsidR="000D2366" w:rsidRDefault="000D2366">
      <w:pPr>
        <w:spacing w:after="0" w:line="240" w:lineRule="auto"/>
        <w:jc w:val="center"/>
        <w:rPr>
          <w:rFonts w:ascii="Times New Roman" w:eastAsia="Times New Roman" w:hAnsi="Times New Roman" w:cs="Times New Roman"/>
          <w:b/>
          <w:sz w:val="24"/>
          <w:szCs w:val="24"/>
          <w:highlight w:val="white"/>
        </w:rPr>
      </w:pPr>
    </w:p>
    <w:p w:rsidR="000D236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D2366" w:rsidRDefault="000D2366">
      <w:pPr>
        <w:spacing w:after="240" w:line="240" w:lineRule="auto"/>
        <w:rPr>
          <w:rFonts w:ascii="Times New Roman" w:eastAsia="Times New Roman" w:hAnsi="Times New Roman" w:cs="Times New Roman"/>
          <w:sz w:val="24"/>
          <w:szCs w:val="24"/>
        </w:rPr>
      </w:pPr>
    </w:p>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rsidR="000D2366" w:rsidRDefault="00000000">
      <w:pPr>
        <w:spacing w:line="240" w:lineRule="auto"/>
        <w:rPr>
          <w:rFonts w:ascii="Times New Roman" w:eastAsia="Times New Roman" w:hAnsi="Times New Roman" w:cs="Times New Roman"/>
          <w:sz w:val="24"/>
          <w:szCs w:val="24"/>
        </w:rPr>
      </w:pPr>
      <w:r>
        <w:br w:type="page"/>
      </w:r>
    </w:p>
    <w:tbl>
      <w:tblPr>
        <w:tblStyle w:val="afff6"/>
        <w:tblW w:w="9915" w:type="dxa"/>
        <w:tblInd w:w="-3" w:type="dxa"/>
        <w:tblLayout w:type="fixed"/>
        <w:tblLook w:val="0400" w:firstRow="0" w:lastRow="0" w:firstColumn="0" w:lastColumn="0" w:noHBand="0" w:noVBand="1"/>
      </w:tblPr>
      <w:tblGrid>
        <w:gridCol w:w="525"/>
        <w:gridCol w:w="3375"/>
        <w:gridCol w:w="6015"/>
      </w:tblGrid>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0D2366">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D2366">
            <w:pPr>
              <w:spacing w:after="0" w:line="240" w:lineRule="auto"/>
              <w:rPr>
                <w:rFonts w:ascii="Times New Roman" w:eastAsia="Times New Roman" w:hAnsi="Times New Roman" w:cs="Times New Roman"/>
                <w:sz w:val="24"/>
                <w:szCs w:val="24"/>
              </w:rPr>
            </w:pP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E90244">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D2366">
            <w:pPr>
              <w:spacing w:after="0" w:line="240" w:lineRule="auto"/>
              <w:rPr>
                <w:rFonts w:ascii="Times New Roman" w:eastAsia="Times New Roman" w:hAnsi="Times New Roman" w:cs="Times New Roman"/>
                <w:sz w:val="24"/>
                <w:szCs w:val="24"/>
              </w:rPr>
            </w:pPr>
          </w:p>
        </w:tc>
      </w:tr>
      <w:tr w:rsidR="000D2366">
        <w:trPr>
          <w:trHeight w:val="87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проспект </w:t>
            </w:r>
            <w:r w:rsidR="002517AB" w:rsidRPr="002517AB">
              <w:rPr>
                <w:rFonts w:ascii="Times New Roman" w:eastAsia="Times New Roman" w:hAnsi="Times New Roman" w:cs="Times New Roman"/>
                <w:sz w:val="24"/>
                <w:szCs w:val="24"/>
                <w:highlight w:val="white"/>
              </w:rPr>
              <w:t>Льва Ландау, 46</w:t>
            </w:r>
            <w:r>
              <w:rPr>
                <w:rFonts w:ascii="Times New Roman" w:eastAsia="Times New Roman" w:hAnsi="Times New Roman" w:cs="Times New Roman"/>
                <w:sz w:val="24"/>
                <w:szCs w:val="24"/>
                <w:highlight w:val="white"/>
              </w:rPr>
              <w:t>, місто Харків (</w:t>
            </w:r>
            <w:r w:rsidR="002517AB">
              <w:rPr>
                <w:rFonts w:ascii="Times New Roman" w:eastAsia="Times New Roman" w:hAnsi="Times New Roman" w:cs="Times New Roman"/>
                <w:sz w:val="24"/>
                <w:szCs w:val="24"/>
                <w:highlight w:val="white"/>
              </w:rPr>
              <w:t xml:space="preserve">ДК </w:t>
            </w:r>
            <w:r>
              <w:rPr>
                <w:rFonts w:ascii="Times New Roman" w:eastAsia="Times New Roman" w:hAnsi="Times New Roman" w:cs="Times New Roman"/>
                <w:sz w:val="24"/>
                <w:szCs w:val="24"/>
                <w:highlight w:val="white"/>
              </w:rPr>
              <w:t>021:2015 - 45260000-7 Покрівельні роботи та інші спеціалізовані будівельні роботи)</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highlight w:val="white"/>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w:t>
            </w:r>
            <w:r>
              <w:rPr>
                <w:rFonts w:ascii="Times New Roman" w:eastAsia="Times New Roman" w:hAnsi="Times New Roman" w:cs="Times New Roman"/>
                <w:sz w:val="24"/>
                <w:szCs w:val="24"/>
                <w:highlight w:val="white"/>
              </w:rPr>
              <w:t xml:space="preserve">,  проспект </w:t>
            </w:r>
            <w:r w:rsidR="002517AB" w:rsidRPr="002517AB">
              <w:rPr>
                <w:rFonts w:ascii="Times New Roman" w:eastAsia="Times New Roman" w:hAnsi="Times New Roman" w:cs="Times New Roman"/>
                <w:sz w:val="24"/>
                <w:szCs w:val="24"/>
                <w:highlight w:val="white"/>
              </w:rPr>
              <w:t>Льва Ландау, 46</w:t>
            </w:r>
            <w:r>
              <w:rPr>
                <w:rFonts w:ascii="Times New Roman" w:eastAsia="Times New Roman" w:hAnsi="Times New Roman" w:cs="Times New Roman"/>
                <w:sz w:val="24"/>
                <w:szCs w:val="24"/>
                <w:highlight w:val="white"/>
              </w:rPr>
              <w:t>.</w:t>
            </w:r>
          </w:p>
          <w:p w:rsidR="000D2366"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до 31.0</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.2023</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eastAsia="Times New Roman" w:hAnsi="Times New Roman" w:cs="Times New Roman"/>
                <w:color w:val="000000"/>
                <w:sz w:val="24"/>
                <w:szCs w:val="24"/>
                <w:highlight w:val="white"/>
              </w:rPr>
              <w:t>окрі</w:t>
            </w:r>
            <w:r>
              <w:rPr>
                <w:rFonts w:ascii="Times New Roman" w:eastAsia="Times New Roman" w:hAnsi="Times New Roman" w:cs="Times New Roman"/>
                <w:color w:val="000000"/>
                <w:sz w:val="24"/>
                <w:szCs w:val="24"/>
              </w:rPr>
              <w:t xml:space="preserve">м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0D2366"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D2366" w:rsidRDefault="000D2366">
            <w:pPr>
              <w:spacing w:before="150" w:after="150" w:line="240" w:lineRule="auto"/>
              <w:jc w:val="both"/>
              <w:rPr>
                <w:rFonts w:ascii="Times New Roman" w:eastAsia="Times New Roman" w:hAnsi="Times New Roman" w:cs="Times New Roman"/>
                <w:sz w:val="24"/>
                <w:szCs w:val="24"/>
              </w:rPr>
            </w:pPr>
          </w:p>
        </w:tc>
      </w:tr>
      <w:tr w:rsidR="000D2366">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0D2366">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0D2366">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rsidR="000D2366" w:rsidRDefault="00000000">
            <w:pPr>
              <w:numPr>
                <w:ilvl w:val="0"/>
                <w:numId w:val="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D2366"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rsidR="000D2366"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0D2366"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0D2366"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rsidR="000D2366"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0D2366" w:rsidRDefault="00000000">
            <w:pPr>
              <w:numPr>
                <w:ilvl w:val="0"/>
                <w:numId w:val="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color w:val="000000"/>
                <w:sz w:val="24"/>
                <w:szCs w:val="24"/>
              </w:rPr>
              <w:lastRenderedPageBreak/>
              <w:t>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0D2366"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rsidR="000D2366"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rsidR="000D2366"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0D2366"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0D2366"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0D2366"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rsidR="000D2366"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rsidR="000D2366"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rsidR="000D2366"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0D2366"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D2366"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0D2366"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0D2366"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0D2366"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rsidR="000D2366" w:rsidRDefault="0000000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Розмір забезпечення тендерної пропозиції: </w:t>
            </w:r>
            <w:r w:rsidR="006718FE">
              <w:rPr>
                <w:rFonts w:ascii="Times New Roman" w:eastAsia="Times New Roman" w:hAnsi="Times New Roman" w:cs="Times New Roman"/>
                <w:b/>
                <w:sz w:val="24"/>
                <w:szCs w:val="24"/>
                <w:highlight w:val="white"/>
              </w:rPr>
              <w:t xml:space="preserve">12 </w:t>
            </w:r>
            <w:r>
              <w:rPr>
                <w:rFonts w:ascii="Times New Roman" w:eastAsia="Times New Roman" w:hAnsi="Times New Roman" w:cs="Times New Roman"/>
                <w:b/>
                <w:sz w:val="24"/>
                <w:szCs w:val="24"/>
                <w:highlight w:val="white"/>
              </w:rPr>
              <w:t>000,00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грн.</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 для принципала юридичної особи – резидента;</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строк сплати коштів за гарантією зазначається в робочих або банківських днях;</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2366"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0D2366"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0D2366"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0D2366"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w:t>
            </w:r>
            <w:r>
              <w:rPr>
                <w:rFonts w:ascii="Times New Roman" w:eastAsia="Times New Roman" w:hAnsi="Times New Roman" w:cs="Times New Roman"/>
                <w:sz w:val="24"/>
                <w:szCs w:val="24"/>
              </w:rPr>
              <w:lastRenderedPageBreak/>
              <w:t>підписом уповноваженої особи банку-гаранта),  довідку з банку, що підтверджує наявність (внесення) грошового покриття по наданій гарантії.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rsidR="000D2366"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1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D2366">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Pr>
                <w:rFonts w:ascii="Times New Roman" w:eastAsia="Times New Roman" w:hAnsi="Times New Roman" w:cs="Times New Roman"/>
                <w:color w:val="000000"/>
                <w:sz w:val="24"/>
                <w:szCs w:val="24"/>
              </w:rPr>
              <w:t>викладен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та Додаток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 повному обсязі.</w:t>
            </w:r>
          </w:p>
        </w:tc>
      </w:tr>
      <w:tr w:rsidR="000D2366">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D2366"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Pr>
                <w:rFonts w:ascii="Times New Roman" w:eastAsia="Times New Roman" w:hAnsi="Times New Roman" w:cs="Times New Roman"/>
                <w:sz w:val="24"/>
                <w:szCs w:val="24"/>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rsidR="000D2366"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0D2366" w:rsidRDefault="000D2366">
            <w:pPr>
              <w:spacing w:before="150" w:after="150" w:line="240" w:lineRule="auto"/>
              <w:jc w:val="both"/>
              <w:rPr>
                <w:rFonts w:ascii="Times New Roman" w:eastAsia="Times New Roman" w:hAnsi="Times New Roman" w:cs="Times New Roman"/>
                <w:sz w:val="24"/>
                <w:szCs w:val="24"/>
              </w:rPr>
            </w:pPr>
          </w:p>
        </w:tc>
      </w:tr>
      <w:tr w:rsidR="000D2366">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08</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.2023 о 9:00</w:t>
            </w:r>
          </w:p>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0D2366"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D2366">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0D2366"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0D236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xml:space="preserve">»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w:t>
            </w:r>
            <w:r>
              <w:rPr>
                <w:rFonts w:ascii="Times New Roman" w:eastAsia="Times New Roman" w:hAnsi="Times New Roman" w:cs="Times New Roman"/>
                <w:color w:val="000000"/>
                <w:sz w:val="24"/>
                <w:szCs w:val="24"/>
              </w:rPr>
              <w:lastRenderedPageBreak/>
              <w:t>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0D2366"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та проживає на території України на законних підставах,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то учасник у складі тендерної пропозиції має надати:</w:t>
            </w:r>
          </w:p>
          <w:p w:rsidR="000D2366"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D2366"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0D2366"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0D2366"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0D2366"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0D2366"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0D2366" w:rsidRDefault="00000000">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w:t>
            </w:r>
            <w:r>
              <w:rPr>
                <w:rFonts w:ascii="Times New Roman" w:eastAsia="Times New Roman" w:hAnsi="Times New Roman" w:cs="Times New Roman"/>
                <w:color w:val="000000"/>
                <w:sz w:val="24"/>
                <w:szCs w:val="24"/>
              </w:rPr>
              <w:lastRenderedPageBreak/>
              <w:t xml:space="preserve">/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замовник відхиляє такого учасника на підставі підпункту 1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w:t>
            </w:r>
            <w:r>
              <w:rPr>
                <w:rFonts w:ascii="Times New Roman" w:eastAsia="Times New Roman" w:hAnsi="Times New Roman" w:cs="Times New Roman"/>
                <w:color w:val="000000"/>
                <w:sz w:val="24"/>
                <w:szCs w:val="24"/>
              </w:rPr>
              <w:lastRenderedPageBreak/>
              <w:t>вимогам, установленим у тендерній документації відповідно до абзацу першого частини третьої статті 22 Закону.</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rsidR="000D236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D2366"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2366"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D2366" w:rsidRDefault="00000000">
            <w:pPr>
              <w:numPr>
                <w:ilvl w:val="0"/>
                <w:numId w:val="1"/>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rsidR="000D2366"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rsidR="000D2366"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0D2366"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rsidR="000D2366"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0D2366"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w:t>
            </w:r>
            <w:r>
              <w:rPr>
                <w:rFonts w:ascii="Times New Roman" w:eastAsia="Times New Roman" w:hAnsi="Times New Roman" w:cs="Times New Roman"/>
                <w:color w:val="000000"/>
                <w:sz w:val="24"/>
                <w:szCs w:val="24"/>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0D2366"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rsidR="000D2366"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rsidR="000D2366" w:rsidRDefault="00000000">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2366" w:rsidRDefault="000D2366">
            <w:pPr>
              <w:spacing w:after="0" w:line="240" w:lineRule="auto"/>
              <w:rPr>
                <w:rFonts w:ascii="Times New Roman" w:eastAsia="Times New Roman" w:hAnsi="Times New Roman" w:cs="Times New Roman"/>
                <w:sz w:val="24"/>
                <w:szCs w:val="24"/>
              </w:rPr>
            </w:pP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rsidR="000D2366"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0D2366"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rsidR="000D2366"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2366"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D2366" w:rsidRDefault="000D2366">
            <w:pPr>
              <w:spacing w:after="0" w:line="240" w:lineRule="auto"/>
              <w:rPr>
                <w:rFonts w:ascii="Times New Roman" w:eastAsia="Times New Roman" w:hAnsi="Times New Roman" w:cs="Times New Roman"/>
                <w:sz w:val="24"/>
                <w:szCs w:val="24"/>
              </w:rPr>
            </w:pP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rsidR="000D2366"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D2366"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rsidR="000D2366"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D2366"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0D2366" w:rsidRDefault="000D2366">
            <w:pPr>
              <w:spacing w:after="0" w:line="240" w:lineRule="auto"/>
              <w:rPr>
                <w:rFonts w:ascii="Times New Roman" w:eastAsia="Times New Roman" w:hAnsi="Times New Roman" w:cs="Times New Roman"/>
                <w:sz w:val="24"/>
                <w:szCs w:val="24"/>
              </w:rPr>
            </w:pPr>
          </w:p>
          <w:p w:rsidR="000D2366"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2366"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color w:val="000000"/>
                <w:sz w:val="24"/>
                <w:szCs w:val="24"/>
              </w:rPr>
              <w:lastRenderedPageBreak/>
              <w:t xml:space="preserve">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D2366">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0D2366"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color w:val="000000"/>
                <w:sz w:val="24"/>
                <w:szCs w:val="24"/>
              </w:rPr>
              <w:lastRenderedPageBreak/>
              <w:t xml:space="preserve">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0D2366"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D2366"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0D2366"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2366" w:rsidRDefault="00000000">
            <w:pPr>
              <w:numPr>
                <w:ilvl w:val="0"/>
                <w:numId w:val="13"/>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0D2366"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D2366" w:rsidRDefault="00000000">
            <w:pPr>
              <w:numPr>
                <w:ilvl w:val="0"/>
                <w:numId w:val="13"/>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D2366"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0D2366">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D2366" w:rsidRDefault="00000000">
            <w:pPr>
              <w:spacing w:after="0" w:line="240" w:lineRule="auto"/>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Департамент житлово-комунального господарства Харківської міської ради </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rsidR="000D2366"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проспект </w:t>
            </w:r>
            <w:r w:rsidR="002517AB" w:rsidRPr="002517AB">
              <w:rPr>
                <w:rFonts w:ascii="Times New Roman" w:eastAsia="Times New Roman" w:hAnsi="Times New Roman" w:cs="Times New Roman"/>
                <w:sz w:val="24"/>
                <w:szCs w:val="24"/>
                <w:highlight w:val="white"/>
              </w:rPr>
              <w:t>Льва Ландау, 46</w:t>
            </w:r>
            <w:r>
              <w:rPr>
                <w:rFonts w:ascii="Times New Roman" w:eastAsia="Times New Roman" w:hAnsi="Times New Roman" w:cs="Times New Roman"/>
                <w:sz w:val="24"/>
                <w:szCs w:val="24"/>
              </w:rPr>
              <w:t>, місто Харків (</w:t>
            </w:r>
            <w:r w:rsidR="002517AB">
              <w:rPr>
                <w:rFonts w:ascii="Times New Roman" w:eastAsia="Times New Roman" w:hAnsi="Times New Roman" w:cs="Times New Roman"/>
                <w:sz w:val="24"/>
                <w:szCs w:val="24"/>
              </w:rPr>
              <w:t xml:space="preserve">ДК </w:t>
            </w:r>
            <w:r>
              <w:rPr>
                <w:rFonts w:ascii="Times New Roman" w:eastAsia="Times New Roman" w:hAnsi="Times New Roman" w:cs="Times New Roman"/>
                <w:sz w:val="24"/>
                <w:szCs w:val="24"/>
              </w:rPr>
              <w:t xml:space="preserve">021:2015 - 45260000-7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оригіналу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(за умови технічної можливості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 та/або надається Замовнику у паперовому вигляді не пізніше дати укладення договору про закупівлю.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rsidR="000D23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rsidR="000D2366" w:rsidRDefault="000D2366">
      <w:pPr>
        <w:tabs>
          <w:tab w:val="left" w:pos="3645"/>
        </w:tabs>
        <w:spacing w:line="240" w:lineRule="auto"/>
        <w:rPr>
          <w:rFonts w:ascii="Times New Roman" w:eastAsia="Times New Roman" w:hAnsi="Times New Roman" w:cs="Times New Roman"/>
          <w:b/>
          <w:sz w:val="24"/>
          <w:szCs w:val="24"/>
        </w:rPr>
      </w:pPr>
    </w:p>
    <w:sectPr w:rsidR="000D2366">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03D"/>
    <w:multiLevelType w:val="multilevel"/>
    <w:tmpl w:val="10B07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D95B75"/>
    <w:multiLevelType w:val="multilevel"/>
    <w:tmpl w:val="CAD01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DF750A"/>
    <w:multiLevelType w:val="multilevel"/>
    <w:tmpl w:val="8166A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1D4245"/>
    <w:multiLevelType w:val="multilevel"/>
    <w:tmpl w:val="267A5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5531A0"/>
    <w:multiLevelType w:val="multilevel"/>
    <w:tmpl w:val="2CCA8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4F0F43"/>
    <w:multiLevelType w:val="multilevel"/>
    <w:tmpl w:val="5A06F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F27298"/>
    <w:multiLevelType w:val="multilevel"/>
    <w:tmpl w:val="05FA9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2E5A51"/>
    <w:multiLevelType w:val="multilevel"/>
    <w:tmpl w:val="1F2AD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665596"/>
    <w:multiLevelType w:val="multilevel"/>
    <w:tmpl w:val="23E43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B6E1DB9"/>
    <w:multiLevelType w:val="multilevel"/>
    <w:tmpl w:val="02A83F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004333"/>
    <w:multiLevelType w:val="multilevel"/>
    <w:tmpl w:val="570AA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F914FA7"/>
    <w:multiLevelType w:val="multilevel"/>
    <w:tmpl w:val="0B483C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FD92279"/>
    <w:multiLevelType w:val="multilevel"/>
    <w:tmpl w:val="77929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04A13A4"/>
    <w:multiLevelType w:val="multilevel"/>
    <w:tmpl w:val="6B5AB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64912FF"/>
    <w:multiLevelType w:val="multilevel"/>
    <w:tmpl w:val="CCC41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8F062A4"/>
    <w:multiLevelType w:val="multilevel"/>
    <w:tmpl w:val="D6FC0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990B90"/>
    <w:multiLevelType w:val="multilevel"/>
    <w:tmpl w:val="ABCE8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D1830AA"/>
    <w:multiLevelType w:val="multilevel"/>
    <w:tmpl w:val="5802C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293EB3"/>
    <w:multiLevelType w:val="multilevel"/>
    <w:tmpl w:val="568C9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9292709"/>
    <w:multiLevelType w:val="multilevel"/>
    <w:tmpl w:val="6EF2C9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B881A36"/>
    <w:multiLevelType w:val="multilevel"/>
    <w:tmpl w:val="85348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B4630D"/>
    <w:multiLevelType w:val="multilevel"/>
    <w:tmpl w:val="90C8C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176C1C"/>
    <w:multiLevelType w:val="multilevel"/>
    <w:tmpl w:val="97D2F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7A3699"/>
    <w:multiLevelType w:val="multilevel"/>
    <w:tmpl w:val="A120B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99924E7"/>
    <w:multiLevelType w:val="multilevel"/>
    <w:tmpl w:val="C542F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60445863">
    <w:abstractNumId w:val="18"/>
  </w:num>
  <w:num w:numId="2" w16cid:durableId="1634750770">
    <w:abstractNumId w:val="14"/>
  </w:num>
  <w:num w:numId="3" w16cid:durableId="1654026160">
    <w:abstractNumId w:val="17"/>
  </w:num>
  <w:num w:numId="4" w16cid:durableId="2019966661">
    <w:abstractNumId w:val="23"/>
  </w:num>
  <w:num w:numId="5" w16cid:durableId="406461946">
    <w:abstractNumId w:val="19"/>
  </w:num>
  <w:num w:numId="6" w16cid:durableId="287011610">
    <w:abstractNumId w:val="15"/>
  </w:num>
  <w:num w:numId="7" w16cid:durableId="1625497114">
    <w:abstractNumId w:val="5"/>
  </w:num>
  <w:num w:numId="8" w16cid:durableId="2059812903">
    <w:abstractNumId w:val="8"/>
  </w:num>
  <w:num w:numId="9" w16cid:durableId="291912558">
    <w:abstractNumId w:val="12"/>
  </w:num>
  <w:num w:numId="10" w16cid:durableId="2074890972">
    <w:abstractNumId w:val="7"/>
  </w:num>
  <w:num w:numId="11" w16cid:durableId="1648052762">
    <w:abstractNumId w:val="0"/>
  </w:num>
  <w:num w:numId="12" w16cid:durableId="2018652281">
    <w:abstractNumId w:val="1"/>
  </w:num>
  <w:num w:numId="13" w16cid:durableId="1432775762">
    <w:abstractNumId w:val="21"/>
  </w:num>
  <w:num w:numId="14" w16cid:durableId="1433279003">
    <w:abstractNumId w:val="2"/>
  </w:num>
  <w:num w:numId="15" w16cid:durableId="2015524087">
    <w:abstractNumId w:val="11"/>
  </w:num>
  <w:num w:numId="16" w16cid:durableId="906111657">
    <w:abstractNumId w:val="20"/>
  </w:num>
  <w:num w:numId="17" w16cid:durableId="1797987596">
    <w:abstractNumId w:val="10"/>
  </w:num>
  <w:num w:numId="18" w16cid:durableId="328753423">
    <w:abstractNumId w:val="6"/>
  </w:num>
  <w:num w:numId="19" w16cid:durableId="1624313743">
    <w:abstractNumId w:val="22"/>
  </w:num>
  <w:num w:numId="20" w16cid:durableId="1811899767">
    <w:abstractNumId w:val="16"/>
  </w:num>
  <w:num w:numId="21" w16cid:durableId="1762723008">
    <w:abstractNumId w:val="3"/>
  </w:num>
  <w:num w:numId="22" w16cid:durableId="969820285">
    <w:abstractNumId w:val="24"/>
  </w:num>
  <w:num w:numId="23" w16cid:durableId="56169778">
    <w:abstractNumId w:val="9"/>
  </w:num>
  <w:num w:numId="24" w16cid:durableId="830486856">
    <w:abstractNumId w:val="4"/>
  </w:num>
  <w:num w:numId="25" w16cid:durableId="774715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66"/>
    <w:rsid w:val="000D2366"/>
    <w:rsid w:val="002517AB"/>
    <w:rsid w:val="006718FE"/>
    <w:rsid w:val="00E90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E399"/>
  <w15:docId w15:val="{A29C5040-FE16-4360-B822-C2920D84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f1"/>
    <w:tblPr>
      <w:tblStyleRowBandSize w:val="1"/>
      <w:tblStyleColBandSize w:val="1"/>
      <w:tblCellMar>
        <w:top w:w="15" w:type="dxa"/>
        <w:left w:w="15" w:type="dxa"/>
        <w:bottom w:w="15" w:type="dxa"/>
        <w:right w:w="15" w:type="dxa"/>
      </w:tblCellMar>
    </w:tblPr>
  </w:style>
  <w:style w:type="table" w:customStyle="1" w:styleId="af3">
    <w:basedOn w:val="TableNormalf1"/>
    <w:tblPr>
      <w:tblStyleRowBandSize w:val="1"/>
      <w:tblStyleColBandSize w:val="1"/>
      <w:tblCellMar>
        <w:top w:w="15" w:type="dxa"/>
        <w:left w:w="15" w:type="dxa"/>
        <w:bottom w:w="15" w:type="dxa"/>
        <w:right w:w="15" w:type="dxa"/>
      </w:tblCellMar>
    </w:tblPr>
  </w:style>
  <w:style w:type="table" w:customStyle="1" w:styleId="af4">
    <w:basedOn w:val="TableNormalf1"/>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f1"/>
    <w:tblPr>
      <w:tblStyleRowBandSize w:val="1"/>
      <w:tblStyleColBandSize w:val="1"/>
      <w:tblCellMar>
        <w:top w:w="15" w:type="dxa"/>
        <w:left w:w="15" w:type="dxa"/>
        <w:bottom w:w="15" w:type="dxa"/>
        <w:right w:w="15" w:type="dxa"/>
      </w:tblCellMar>
    </w:tblPr>
  </w:style>
  <w:style w:type="table" w:customStyle="1" w:styleId="af7">
    <w:basedOn w:val="TableNormalf1"/>
    <w:tblPr>
      <w:tblStyleRowBandSize w:val="1"/>
      <w:tblStyleColBandSize w:val="1"/>
      <w:tblCellMar>
        <w:top w:w="15" w:type="dxa"/>
        <w:left w:w="15" w:type="dxa"/>
        <w:bottom w:w="15" w:type="dxa"/>
        <w:right w:w="15" w:type="dxa"/>
      </w:tblCellMar>
    </w:tblPr>
  </w:style>
  <w:style w:type="table" w:customStyle="1" w:styleId="af8">
    <w:basedOn w:val="TableNormalf1"/>
    <w:pPr>
      <w:spacing w:after="0" w:line="240" w:lineRule="auto"/>
    </w:pPr>
    <w:tblPr>
      <w:tblStyleRowBandSize w:val="1"/>
      <w:tblStyleColBandSize w:val="1"/>
      <w:tblCellMar>
        <w:left w:w="108" w:type="dxa"/>
        <w:right w:w="108" w:type="dxa"/>
      </w:tblCellMar>
    </w:tblPr>
  </w:style>
  <w:style w:type="table" w:customStyle="1" w:styleId="af9">
    <w:basedOn w:val="TableNormalf1"/>
    <w:tblPr>
      <w:tblStyleRowBandSize w:val="1"/>
      <w:tblStyleColBandSize w:val="1"/>
      <w:tblCellMar>
        <w:top w:w="15" w:type="dxa"/>
        <w:left w:w="15" w:type="dxa"/>
        <w:bottom w:w="15" w:type="dxa"/>
        <w:right w:w="15" w:type="dxa"/>
      </w:tblCellMar>
    </w:tblPr>
  </w:style>
  <w:style w:type="table" w:customStyle="1" w:styleId="afa">
    <w:basedOn w:val="TableNormalf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f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f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f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f1"/>
    <w:pPr>
      <w:spacing w:after="200" w:line="276" w:lineRule="auto"/>
    </w:pPr>
    <w:tblPr>
      <w:tblStyleRowBandSize w:val="1"/>
      <w:tblStyleColBandSize w:val="1"/>
      <w:tblCellMar>
        <w:left w:w="115" w:type="dxa"/>
        <w:right w:w="115" w:type="dxa"/>
      </w:tblCellMar>
    </w:tblPr>
  </w:style>
  <w:style w:type="table" w:customStyle="1" w:styleId="aff">
    <w:basedOn w:val="TableNormalf1"/>
    <w:pPr>
      <w:spacing w:after="200" w:line="276" w:lineRule="auto"/>
    </w:pPr>
    <w:tblPr>
      <w:tblStyleRowBandSize w:val="1"/>
      <w:tblStyleColBandSize w:val="1"/>
      <w:tblCellMar>
        <w:left w:w="115" w:type="dxa"/>
        <w:right w:w="115" w:type="dxa"/>
      </w:tblCellMar>
    </w:tblPr>
  </w:style>
  <w:style w:type="table" w:customStyle="1" w:styleId="aff0">
    <w:basedOn w:val="TableNormalf1"/>
    <w:pPr>
      <w:spacing w:after="200" w:line="276" w:lineRule="auto"/>
    </w:pPr>
    <w:tblPr>
      <w:tblStyleRowBandSize w:val="1"/>
      <w:tblStyleColBandSize w:val="1"/>
      <w:tblCellMar>
        <w:left w:w="115" w:type="dxa"/>
        <w:right w:w="115" w:type="dxa"/>
      </w:tblCellMar>
    </w:tblPr>
  </w:style>
  <w:style w:type="table" w:customStyle="1" w:styleId="aff1">
    <w:basedOn w:val="TableNormalf1"/>
    <w:pPr>
      <w:spacing w:after="200" w:line="276" w:lineRule="auto"/>
    </w:pPr>
    <w:tblPr>
      <w:tblStyleRowBandSize w:val="1"/>
      <w:tblStyleColBandSize w:val="1"/>
      <w:tblCellMar>
        <w:left w:w="115" w:type="dxa"/>
        <w:right w:w="115" w:type="dxa"/>
      </w:tblCellMar>
    </w:tblPr>
  </w:style>
  <w:style w:type="table" w:customStyle="1" w:styleId="aff2">
    <w:basedOn w:val="TableNormalf1"/>
    <w:pPr>
      <w:spacing w:after="200" w:line="276" w:lineRule="auto"/>
    </w:pPr>
    <w:tblPr>
      <w:tblStyleRowBandSize w:val="1"/>
      <w:tblStyleColBandSize w:val="1"/>
      <w:tblCellMar>
        <w:left w:w="115" w:type="dxa"/>
        <w:right w:w="115" w:type="dxa"/>
      </w:tblCellMar>
    </w:tblPr>
  </w:style>
  <w:style w:type="table" w:customStyle="1" w:styleId="aff3">
    <w:basedOn w:val="TableNormalf1"/>
    <w:pPr>
      <w:spacing w:after="200" w:line="276" w:lineRule="auto"/>
    </w:pPr>
    <w:tblPr>
      <w:tblStyleRowBandSize w:val="1"/>
      <w:tblStyleColBandSize w:val="1"/>
      <w:tblCellMar>
        <w:left w:w="115" w:type="dxa"/>
        <w:right w:w="115" w:type="dxa"/>
      </w:tblCellMar>
    </w:tblPr>
  </w:style>
  <w:style w:type="table" w:customStyle="1" w:styleId="aff4">
    <w:basedOn w:val="TableNormalf1"/>
    <w:pPr>
      <w:spacing w:after="200" w:line="276" w:lineRule="auto"/>
    </w:pPr>
    <w:tblPr>
      <w:tblStyleRowBandSize w:val="1"/>
      <w:tblStyleColBandSize w:val="1"/>
      <w:tblCellMar>
        <w:left w:w="115" w:type="dxa"/>
        <w:right w:w="115" w:type="dxa"/>
      </w:tblCellMar>
    </w:tblPr>
  </w:style>
  <w:style w:type="table" w:customStyle="1" w:styleId="aff5">
    <w:basedOn w:val="TableNormalf1"/>
    <w:pPr>
      <w:spacing w:after="200" w:line="276" w:lineRule="auto"/>
    </w:pPr>
    <w:tblPr>
      <w:tblStyleRowBandSize w:val="1"/>
      <w:tblStyleColBandSize w:val="1"/>
      <w:tblCellMar>
        <w:left w:w="115" w:type="dxa"/>
        <w:right w:w="115" w:type="dxa"/>
      </w:tblCellMar>
    </w:tblPr>
  </w:style>
  <w:style w:type="table" w:customStyle="1" w:styleId="aff6">
    <w:basedOn w:val="TableNormalf1"/>
    <w:pPr>
      <w:spacing w:after="200" w:line="276" w:lineRule="auto"/>
    </w:pPr>
    <w:tblPr>
      <w:tblStyleRowBandSize w:val="1"/>
      <w:tblStyleColBandSize w:val="1"/>
      <w:tblCellMar>
        <w:left w:w="115" w:type="dxa"/>
        <w:right w:w="115" w:type="dxa"/>
      </w:tblCellMar>
    </w:tblPr>
  </w:style>
  <w:style w:type="table" w:customStyle="1" w:styleId="aff7">
    <w:basedOn w:val="TableNormalf1"/>
    <w:pPr>
      <w:spacing w:after="200" w:line="276" w:lineRule="auto"/>
    </w:pPr>
    <w:tblPr>
      <w:tblStyleRowBandSize w:val="1"/>
      <w:tblStyleColBandSize w:val="1"/>
      <w:tblCellMar>
        <w:left w:w="115" w:type="dxa"/>
        <w:right w:w="115" w:type="dxa"/>
      </w:tblCellMar>
    </w:tblPr>
  </w:style>
  <w:style w:type="table" w:customStyle="1" w:styleId="aff8">
    <w:basedOn w:val="TableNormalf1"/>
    <w:pPr>
      <w:spacing w:after="200" w:line="276" w:lineRule="auto"/>
    </w:pPr>
    <w:tblPr>
      <w:tblStyleRowBandSize w:val="1"/>
      <w:tblStyleColBandSize w:val="1"/>
      <w:tblCellMar>
        <w:left w:w="115" w:type="dxa"/>
        <w:right w:w="115" w:type="dxa"/>
      </w:tblCellMar>
    </w:tblPr>
  </w:style>
  <w:style w:type="table" w:customStyle="1" w:styleId="aff9">
    <w:basedOn w:val="TableNormald"/>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d"/>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d"/>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d"/>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d"/>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
    <w:basedOn w:val="TableNormal7"/>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0">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1">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2">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3">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4">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5">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6">
    <w:basedOn w:val="TableNormal6"/>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tfrRKVJQh4PQSTGj66fYUfFmg==">CgMxLjAyCGguZ2pkZ3hzMg5oLnNoY3lscHI4bWg5NzIJaC4zMGowemxsMgloLjFmb2I5dGU4AHIhMUZURGVsMHprWnlnY3ZTT0Jqbnh3N3Q3Q3Rpc2R1U2p3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37303</Words>
  <Characters>21263</Characters>
  <Application>Microsoft Office Word</Application>
  <DocSecurity>0</DocSecurity>
  <Lines>177</Lines>
  <Paragraphs>116</Paragraphs>
  <ScaleCrop>false</ScaleCrop>
  <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4</cp:revision>
  <dcterms:created xsi:type="dcterms:W3CDTF">2023-04-26T07:34:00Z</dcterms:created>
  <dcterms:modified xsi:type="dcterms:W3CDTF">2023-05-31T10:40:00Z</dcterms:modified>
</cp:coreProperties>
</file>