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7E4162C2" w14:textId="77777777" w:rsidR="00561B0E" w:rsidRDefault="005078AD" w:rsidP="00561B0E">
      <w:pPr>
        <w:pStyle w:val="a9"/>
        <w:spacing w:before="0" w:beforeAutospacing="0" w:after="0" w:afterAutospacing="0"/>
        <w:jc w:val="center"/>
        <w:rPr>
          <w:b/>
          <w:color w:val="000000"/>
          <w:sz w:val="28"/>
          <w:szCs w:val="28"/>
        </w:rPr>
      </w:pPr>
      <w:r w:rsidRPr="0076187D">
        <w:rPr>
          <w:rFonts w:eastAsia="Calibri"/>
          <w:b/>
          <w:color w:val="000000"/>
          <w:shd w:val="clear" w:color="auto" w:fill="FFFFFF"/>
        </w:rPr>
        <w:t>«</w:t>
      </w:r>
      <w:r w:rsidR="00561B0E" w:rsidRPr="00561B0E">
        <w:rPr>
          <w:b/>
          <w:color w:val="000000"/>
          <w:sz w:val="28"/>
          <w:szCs w:val="28"/>
        </w:rPr>
        <w:t>Газоаналізатор та мобільний принтер з кейсом</w:t>
      </w:r>
      <w:r w:rsidR="00561B0E">
        <w:rPr>
          <w:b/>
          <w:color w:val="000000"/>
          <w:sz w:val="28"/>
          <w:szCs w:val="28"/>
        </w:rPr>
        <w:t>»</w:t>
      </w:r>
    </w:p>
    <w:p w14:paraId="460A7095" w14:textId="2B3DD5D7" w:rsidR="005078AD" w:rsidRPr="00270FE9" w:rsidRDefault="00270FE9" w:rsidP="00561B0E">
      <w:pPr>
        <w:pStyle w:val="a9"/>
        <w:spacing w:before="0" w:beforeAutospacing="0" w:after="0" w:afterAutospacing="0"/>
        <w:jc w:val="center"/>
        <w:rPr>
          <w:color w:val="FF0000"/>
          <w:sz w:val="23"/>
          <w:szCs w:val="23"/>
          <w:bdr w:val="none" w:sz="0" w:space="0" w:color="auto" w:frame="1"/>
          <w:shd w:val="clear" w:color="auto" w:fill="FDFEFD"/>
          <w:lang w:val="ru-RU"/>
        </w:rPr>
      </w:pPr>
      <w:r w:rsidRPr="00270FE9">
        <w:rPr>
          <w:color w:val="000000"/>
          <w:sz w:val="28"/>
          <w:szCs w:val="28"/>
        </w:rPr>
        <w:t>ДК 021:2015:38430000-8: Детектори та аналізатори</w:t>
      </w:r>
    </w:p>
    <w:p w14:paraId="198DCB2A" w14:textId="77777777" w:rsidR="005078AD" w:rsidRDefault="005078AD" w:rsidP="005078AD">
      <w:pPr>
        <w:pStyle w:val="20"/>
        <w:ind w:left="0"/>
        <w:jc w:val="center"/>
        <w:rPr>
          <w:color w:val="FF0000"/>
          <w:sz w:val="23"/>
          <w:szCs w:val="23"/>
          <w:bdr w:val="none" w:sz="0" w:space="0" w:color="auto" w:frame="1"/>
          <w:shd w:val="clear" w:color="auto" w:fill="FDFEFD"/>
        </w:rPr>
      </w:pPr>
    </w:p>
    <w:p w14:paraId="6FB7C539" w14:textId="77777777" w:rsidR="005078AD" w:rsidRDefault="005078AD" w:rsidP="005078AD">
      <w:pPr>
        <w:pStyle w:val="20"/>
        <w:ind w:left="0"/>
        <w:jc w:val="center"/>
        <w:rPr>
          <w:color w:val="FF0000"/>
          <w:sz w:val="23"/>
          <w:szCs w:val="23"/>
          <w:bdr w:val="none" w:sz="0" w:space="0" w:color="auto" w:frame="1"/>
          <w:shd w:val="clear" w:color="auto" w:fill="FDFEFD"/>
        </w:rPr>
      </w:pP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9483298" w14:textId="53E4D6EB" w:rsidR="00270FE9" w:rsidRPr="00270FE9" w:rsidRDefault="00270FE9" w:rsidP="00270FE9">
            <w:pPr>
              <w:contextualSpacing/>
              <w:rPr>
                <w:rFonts w:ascii="Times New Roman" w:hAnsi="Times New Roman"/>
                <w:b/>
                <w:sz w:val="24"/>
                <w:szCs w:val="24"/>
                <w:shd w:val="clear" w:color="auto" w:fill="FFFFFF"/>
              </w:rPr>
            </w:pPr>
            <w:r w:rsidRPr="00270FE9">
              <w:rPr>
                <w:rFonts w:ascii="Times New Roman" w:hAnsi="Times New Roman"/>
                <w:b/>
                <w:sz w:val="24"/>
                <w:szCs w:val="24"/>
                <w:shd w:val="clear" w:color="auto" w:fill="FFFFFF"/>
              </w:rPr>
              <w:t>«</w:t>
            </w:r>
            <w:r w:rsidR="00561B0E" w:rsidRPr="00561B0E">
              <w:rPr>
                <w:rFonts w:ascii="Times New Roman" w:hAnsi="Times New Roman"/>
                <w:b/>
                <w:sz w:val="24"/>
                <w:szCs w:val="24"/>
                <w:shd w:val="clear" w:color="auto" w:fill="FFFFFF"/>
              </w:rPr>
              <w:t>Газоаналізатор та мобільний принтер з кейсом</w:t>
            </w:r>
            <w:r w:rsidRPr="00270FE9">
              <w:rPr>
                <w:rFonts w:ascii="Times New Roman" w:hAnsi="Times New Roman"/>
                <w:b/>
                <w:sz w:val="24"/>
                <w:szCs w:val="24"/>
                <w:shd w:val="clear" w:color="auto" w:fill="FFFFFF"/>
              </w:rPr>
              <w:t>»</w:t>
            </w:r>
          </w:p>
          <w:p w14:paraId="43784F67" w14:textId="11C9D327" w:rsidR="005078AD" w:rsidRPr="00B048BD" w:rsidRDefault="00270FE9" w:rsidP="00270FE9">
            <w:pPr>
              <w:contextualSpacing/>
              <w:rPr>
                <w:rFonts w:ascii="Times New Roman" w:eastAsia="Times New Roman" w:hAnsi="Times New Roman" w:cs="Times New Roman"/>
                <w:b/>
                <w:i/>
                <w:sz w:val="24"/>
                <w:szCs w:val="24"/>
              </w:rPr>
            </w:pPr>
            <w:r w:rsidRPr="00270FE9">
              <w:rPr>
                <w:rFonts w:ascii="Times New Roman" w:hAnsi="Times New Roman"/>
                <w:b/>
                <w:sz w:val="24"/>
                <w:szCs w:val="24"/>
                <w:shd w:val="clear" w:color="auto" w:fill="FFFFFF"/>
              </w:rPr>
              <w:t>ДК 021:2015:38430000-8: Детектори та аналізатори</w:t>
            </w: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77777777"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Pr>
                <w:rFonts w:ascii="Times New Roman" w:hAnsi="Times New Roman" w:cs="Times New Roman"/>
                <w:i/>
                <w:sz w:val="24"/>
                <w:szCs w:val="24"/>
                <w:lang w:eastAsia="en-US"/>
              </w:rPr>
              <w:t xml:space="preserve">Миколаївської області </w:t>
            </w:r>
          </w:p>
          <w:p w14:paraId="16E77CF4" w14:textId="64A22FC9"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270FE9">
              <w:rPr>
                <w:rFonts w:ascii="Times New Roman" w:hAnsi="Times New Roman" w:cs="Times New Roman"/>
                <w:i/>
                <w:sz w:val="24"/>
                <w:szCs w:val="24"/>
                <w:lang w:val="ru-RU" w:eastAsia="en-US"/>
              </w:rPr>
              <w:t>10</w:t>
            </w:r>
            <w:r>
              <w:rPr>
                <w:rFonts w:ascii="Times New Roman" w:hAnsi="Times New Roman" w:cs="Times New Roman"/>
                <w:i/>
                <w:sz w:val="24"/>
                <w:szCs w:val="24"/>
                <w:lang w:eastAsia="en-US"/>
              </w:rPr>
              <w:t xml:space="preserve">  шт.</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79466B44"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561B0E">
              <w:rPr>
                <w:rFonts w:ascii="Times New Roman" w:hAnsi="Times New Roman"/>
                <w:b/>
                <w:sz w:val="24"/>
                <w:szCs w:val="24"/>
              </w:rPr>
              <w:t>15</w:t>
            </w:r>
            <w:r w:rsidRPr="009A78D7">
              <w:rPr>
                <w:rFonts w:ascii="Times New Roman" w:hAnsi="Times New Roman"/>
                <w:b/>
                <w:sz w:val="24"/>
                <w:szCs w:val="24"/>
              </w:rPr>
              <w:t>.</w:t>
            </w:r>
            <w:r w:rsidR="00561B0E">
              <w:rPr>
                <w:rFonts w:ascii="Times New Roman" w:hAnsi="Times New Roman"/>
                <w:b/>
                <w:sz w:val="24"/>
                <w:szCs w:val="24"/>
              </w:rPr>
              <w:t>08</w:t>
            </w:r>
            <w:r w:rsidRPr="009A78D7">
              <w:rPr>
                <w:rFonts w:ascii="Times New Roman" w:hAnsi="Times New Roman"/>
                <w:b/>
                <w:sz w:val="24"/>
                <w:szCs w:val="24"/>
              </w:rPr>
              <w:t>.2023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17783B7F"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270FE9" w:rsidRPr="00270FE9">
              <w:rPr>
                <w:rFonts w:ascii="Times New Roman" w:hAnsi="Times New Roman" w:cs="Times New Roman"/>
                <w:b/>
                <w:sz w:val="24"/>
                <w:szCs w:val="24"/>
              </w:rPr>
              <w:t>338</w:t>
            </w:r>
            <w:r w:rsidR="00270FE9">
              <w:rPr>
                <w:rFonts w:ascii="Times New Roman" w:hAnsi="Times New Roman" w:cs="Times New Roman"/>
                <w:b/>
                <w:sz w:val="24"/>
                <w:szCs w:val="24"/>
              </w:rPr>
              <w:t> </w:t>
            </w:r>
            <w:r w:rsidR="00270FE9" w:rsidRPr="00270FE9">
              <w:rPr>
                <w:rFonts w:ascii="Times New Roman" w:hAnsi="Times New Roman" w:cs="Times New Roman"/>
                <w:b/>
                <w:sz w:val="24"/>
                <w:szCs w:val="24"/>
              </w:rPr>
              <w:t>725</w:t>
            </w:r>
            <w:r w:rsidR="00270FE9">
              <w:rPr>
                <w:rFonts w:ascii="Times New Roman" w:hAnsi="Times New Roman" w:cs="Times New Roman"/>
                <w:b/>
                <w:sz w:val="24"/>
                <w:szCs w:val="24"/>
                <w:lang w:val="ru-RU"/>
              </w:rPr>
              <w:t>,00 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F3EAA">
              <w:rPr>
                <w:rFonts w:ascii="Times New Roman" w:eastAsia="Times New Roman" w:hAnsi="Times New Roman" w:cs="Times New Roman"/>
                <w:sz w:val="24"/>
                <w:szCs w:val="24"/>
              </w:rPr>
              <w:lastRenderedPageBreak/>
              <w:t>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«______________№_____________» замість «14.08.2020 №320/13/14-01»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5F3EAA">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78F6EE7D"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334BC0">
              <w:rPr>
                <w:rFonts w:ascii="Times New Roman" w:eastAsia="Times New Roman" w:hAnsi="Times New Roman" w:cs="Times New Roman"/>
                <w:b/>
                <w:color w:val="000000"/>
                <w:sz w:val="24"/>
                <w:szCs w:val="24"/>
                <w:highlight w:val="red"/>
              </w:rPr>
              <w:t>21</w:t>
            </w:r>
            <w:r w:rsidRPr="005078AD">
              <w:rPr>
                <w:rFonts w:ascii="Times New Roman" w:eastAsia="Times New Roman" w:hAnsi="Times New Roman" w:cs="Times New Roman"/>
                <w:b/>
                <w:color w:val="000000"/>
                <w:sz w:val="24"/>
                <w:szCs w:val="24"/>
                <w:highlight w:val="red"/>
              </w:rPr>
              <w:t>.0</w:t>
            </w:r>
            <w:r w:rsidR="00334BC0">
              <w:rPr>
                <w:rFonts w:ascii="Times New Roman" w:eastAsia="Times New Roman" w:hAnsi="Times New Roman" w:cs="Times New Roman"/>
                <w:b/>
                <w:color w:val="000000"/>
                <w:sz w:val="24"/>
                <w:szCs w:val="24"/>
                <w:highlight w:val="red"/>
              </w:rPr>
              <w:t>7</w:t>
            </w:r>
            <w:r w:rsidRPr="005078AD">
              <w:rPr>
                <w:rFonts w:ascii="Times New Roman" w:eastAsia="Times New Roman" w:hAnsi="Times New Roman" w:cs="Times New Roman"/>
                <w:b/>
                <w:sz w:val="24"/>
                <w:szCs w:val="24"/>
                <w:highlight w:val="red"/>
              </w:rPr>
              <w:t>.2023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34BC0"/>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1B0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41659"/>
    <w:rsid w:val="00D44975"/>
    <w:rsid w:val="00D458A3"/>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8182</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Дима</cp:lastModifiedBy>
  <cp:revision>5</cp:revision>
  <cp:lastPrinted>2023-05-24T12:55:00Z</cp:lastPrinted>
  <dcterms:created xsi:type="dcterms:W3CDTF">2023-05-26T11:57:00Z</dcterms:created>
  <dcterms:modified xsi:type="dcterms:W3CDTF">2023-07-14T13:25:00Z</dcterms:modified>
</cp:coreProperties>
</file>