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77777777"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3</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462E4228"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м. Миколаїв</w:t>
      </w:r>
      <w:r w:rsidR="00393430" w:rsidRPr="004177DD">
        <w:rPr>
          <w:color w:val="000000"/>
          <w:spacing w:val="-1"/>
          <w:sz w:val="24"/>
          <w:szCs w:val="24"/>
          <w:lang w:val="uk-UA"/>
        </w:rPr>
        <w:t xml:space="preserve">                                                                 </w:t>
      </w:r>
      <w:r w:rsidR="00D63DB5" w:rsidRPr="004177DD">
        <w:rPr>
          <w:color w:val="000000"/>
          <w:spacing w:val="-1"/>
          <w:sz w:val="24"/>
          <w:szCs w:val="24"/>
          <w:lang w:val="uk-UA"/>
        </w:rPr>
        <w:t xml:space="preserve"> </w:t>
      </w:r>
      <w:r w:rsidR="00365534" w:rsidRPr="004177DD">
        <w:rPr>
          <w:color w:val="000000"/>
          <w:spacing w:val="-1"/>
          <w:sz w:val="24"/>
          <w:szCs w:val="24"/>
          <w:lang w:val="uk-UA"/>
        </w:rPr>
        <w:t xml:space="preserve">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170CDB">
        <w:rPr>
          <w:color w:val="000000"/>
          <w:spacing w:val="16"/>
          <w:sz w:val="24"/>
          <w:szCs w:val="24"/>
          <w:lang w:val="uk-UA"/>
        </w:rPr>
        <w:t>3</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28BB7CDC"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885743" w:rsidRPr="00885743">
        <w:rPr>
          <w:snapToGrid w:val="0"/>
          <w:sz w:val="24"/>
          <w:szCs w:val="24"/>
          <w:lang w:val="uk-UA"/>
        </w:rPr>
        <w:t xml:space="preserve">Покупець власними силами, засобами  та за власний рахунок відповідно до умов даного Договору, зобов’язується отримати товар, за адресою Постачальника, протягом 10 днів з дати підписання  даного  Договору, але в будь якому випадку не пізніше </w:t>
      </w:r>
      <w:r w:rsidR="00502E09">
        <w:rPr>
          <w:snapToGrid w:val="0"/>
          <w:sz w:val="24"/>
          <w:szCs w:val="24"/>
          <w:lang w:val="uk-UA"/>
        </w:rPr>
        <w:t>15</w:t>
      </w:r>
      <w:r w:rsidR="00885743" w:rsidRPr="00885743">
        <w:rPr>
          <w:snapToGrid w:val="0"/>
          <w:sz w:val="24"/>
          <w:szCs w:val="24"/>
          <w:lang w:val="uk-UA"/>
        </w:rPr>
        <w:t>.0</w:t>
      </w:r>
      <w:r w:rsidR="00502E09">
        <w:rPr>
          <w:snapToGrid w:val="0"/>
          <w:sz w:val="24"/>
          <w:szCs w:val="24"/>
          <w:lang w:val="uk-UA"/>
        </w:rPr>
        <w:t>8</w:t>
      </w:r>
      <w:r w:rsidR="00885743" w:rsidRPr="00885743">
        <w:rPr>
          <w:snapToGrid w:val="0"/>
          <w:sz w:val="24"/>
          <w:szCs w:val="24"/>
          <w:lang w:val="uk-UA"/>
        </w:rPr>
        <w:t>.2023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11BC41EB"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866DB0">
        <w:rPr>
          <w:sz w:val="24"/>
          <w:szCs w:val="24"/>
          <w:lang w:val="uk-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77777777"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4 (чотирьох) автентичних примірниках, 3 (три) з яких – Покупцю, 1 (один) –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0B897276"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170CDB">
        <w:rPr>
          <w:spacing w:val="1"/>
          <w:sz w:val="24"/>
          <w:szCs w:val="24"/>
          <w:lang w:val="uk-UA"/>
        </w:rPr>
        <w:t>3</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49CE9536" w14:textId="60A3BA5F" w:rsidR="00BC02C7" w:rsidRPr="004177DD" w:rsidRDefault="00AE0183" w:rsidP="00EA02F0">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FD30E86" w14:textId="77777777" w:rsidR="004A77DE" w:rsidRPr="004177DD" w:rsidRDefault="004A77DE" w:rsidP="00AE0183">
      <w:pPr>
        <w:tabs>
          <w:tab w:val="left" w:pos="426"/>
        </w:tabs>
        <w:ind w:left="360"/>
        <w:jc w:val="center"/>
        <w:rPr>
          <w:b/>
          <w:sz w:val="24"/>
          <w:szCs w:val="24"/>
          <w:lang w:val="uk-UA"/>
        </w:rPr>
      </w:pPr>
    </w:p>
    <w:p w14:paraId="5A421D0C" w14:textId="77777777" w:rsidR="00A34A94" w:rsidRDefault="00A34A94" w:rsidP="00AE0183">
      <w:pPr>
        <w:tabs>
          <w:tab w:val="left" w:pos="426"/>
        </w:tabs>
        <w:ind w:left="360"/>
        <w:jc w:val="center"/>
        <w:rPr>
          <w:b/>
          <w:sz w:val="24"/>
          <w:szCs w:val="24"/>
          <w:lang w:val="uk-UA"/>
        </w:rPr>
      </w:pPr>
    </w:p>
    <w:p w14:paraId="356135F1" w14:textId="77777777" w:rsidR="00A34A94" w:rsidRDefault="00A34A94" w:rsidP="00AE0183">
      <w:pPr>
        <w:tabs>
          <w:tab w:val="left" w:pos="426"/>
        </w:tabs>
        <w:ind w:left="360"/>
        <w:jc w:val="center"/>
        <w:rPr>
          <w:b/>
          <w:sz w:val="24"/>
          <w:szCs w:val="24"/>
          <w:lang w:val="uk-UA"/>
        </w:rPr>
      </w:pPr>
    </w:p>
    <w:p w14:paraId="6D5F3D8F" w14:textId="77777777" w:rsidR="00A34A94" w:rsidRDefault="00A34A94" w:rsidP="00AE0183">
      <w:pPr>
        <w:tabs>
          <w:tab w:val="left" w:pos="426"/>
        </w:tabs>
        <w:ind w:left="360"/>
        <w:jc w:val="center"/>
        <w:rPr>
          <w:b/>
          <w:sz w:val="24"/>
          <w:szCs w:val="24"/>
          <w:lang w:val="uk-UA"/>
        </w:rPr>
      </w:pPr>
    </w:p>
    <w:p w14:paraId="79C97D13" w14:textId="77777777" w:rsidR="00A34A94" w:rsidRDefault="00A34A94" w:rsidP="00AE0183">
      <w:pPr>
        <w:tabs>
          <w:tab w:val="left" w:pos="426"/>
        </w:tabs>
        <w:ind w:left="360"/>
        <w:jc w:val="center"/>
        <w:rPr>
          <w:b/>
          <w:sz w:val="24"/>
          <w:szCs w:val="24"/>
          <w:lang w:val="uk-UA"/>
        </w:rPr>
      </w:pPr>
    </w:p>
    <w:p w14:paraId="41D031EC" w14:textId="77777777" w:rsidR="00A34A94" w:rsidRDefault="00A34A94" w:rsidP="00AE0183">
      <w:pPr>
        <w:tabs>
          <w:tab w:val="left" w:pos="426"/>
        </w:tabs>
        <w:ind w:left="360"/>
        <w:jc w:val="center"/>
        <w:rPr>
          <w:b/>
          <w:sz w:val="24"/>
          <w:szCs w:val="24"/>
          <w:lang w:val="uk-UA"/>
        </w:rPr>
      </w:pPr>
    </w:p>
    <w:p w14:paraId="6B17F37D" w14:textId="77777777" w:rsidR="00A34A94" w:rsidRDefault="00A34A94" w:rsidP="00AE0183">
      <w:pPr>
        <w:tabs>
          <w:tab w:val="left" w:pos="426"/>
        </w:tabs>
        <w:ind w:left="360"/>
        <w:jc w:val="center"/>
        <w:rPr>
          <w:b/>
          <w:sz w:val="24"/>
          <w:szCs w:val="24"/>
          <w:lang w:val="uk-UA"/>
        </w:rPr>
      </w:pPr>
    </w:p>
    <w:p w14:paraId="10E4EA90" w14:textId="77777777" w:rsidR="00A34A94" w:rsidRDefault="00A34A94" w:rsidP="00AE0183">
      <w:pPr>
        <w:tabs>
          <w:tab w:val="left" w:pos="426"/>
        </w:tabs>
        <w:ind w:left="360"/>
        <w:jc w:val="center"/>
        <w:rPr>
          <w:b/>
          <w:sz w:val="24"/>
          <w:szCs w:val="24"/>
          <w:lang w:val="uk-UA"/>
        </w:rPr>
      </w:pPr>
    </w:p>
    <w:p w14:paraId="39075C5F" w14:textId="77777777" w:rsidR="00A34A94" w:rsidRDefault="00A34A94" w:rsidP="00AE0183">
      <w:pPr>
        <w:tabs>
          <w:tab w:val="left" w:pos="426"/>
        </w:tabs>
        <w:ind w:left="360"/>
        <w:jc w:val="center"/>
        <w:rPr>
          <w:b/>
          <w:sz w:val="24"/>
          <w:szCs w:val="24"/>
          <w:lang w:val="uk-UA"/>
        </w:rPr>
      </w:pPr>
    </w:p>
    <w:p w14:paraId="6A6F7BFB" w14:textId="77777777" w:rsidR="00A34A94" w:rsidRDefault="00A34A94" w:rsidP="00AE0183">
      <w:pPr>
        <w:tabs>
          <w:tab w:val="left" w:pos="426"/>
        </w:tabs>
        <w:ind w:left="360"/>
        <w:jc w:val="center"/>
        <w:rPr>
          <w:b/>
          <w:sz w:val="24"/>
          <w:szCs w:val="24"/>
          <w:lang w:val="uk-UA"/>
        </w:rPr>
      </w:pPr>
    </w:p>
    <w:p w14:paraId="51F4335C" w14:textId="77777777" w:rsidR="00A34A94" w:rsidRDefault="00A34A94" w:rsidP="00AE0183">
      <w:pPr>
        <w:tabs>
          <w:tab w:val="left" w:pos="426"/>
        </w:tabs>
        <w:ind w:left="360"/>
        <w:jc w:val="center"/>
        <w:rPr>
          <w:b/>
          <w:sz w:val="24"/>
          <w:szCs w:val="24"/>
          <w:lang w:val="uk-UA"/>
        </w:rPr>
      </w:pPr>
    </w:p>
    <w:p w14:paraId="20632ED5" w14:textId="77777777" w:rsidR="00A34A94" w:rsidRDefault="00A34A94" w:rsidP="00AE0183">
      <w:pPr>
        <w:tabs>
          <w:tab w:val="left" w:pos="426"/>
        </w:tabs>
        <w:ind w:left="360"/>
        <w:jc w:val="center"/>
        <w:rPr>
          <w:b/>
          <w:sz w:val="24"/>
          <w:szCs w:val="24"/>
          <w:lang w:val="uk-UA"/>
        </w:rPr>
      </w:pPr>
    </w:p>
    <w:p w14:paraId="18087620" w14:textId="77777777" w:rsidR="00A34A94" w:rsidRDefault="00A34A94" w:rsidP="00AE0183">
      <w:pPr>
        <w:tabs>
          <w:tab w:val="left" w:pos="426"/>
        </w:tabs>
        <w:ind w:left="360"/>
        <w:jc w:val="center"/>
        <w:rPr>
          <w:b/>
          <w:sz w:val="24"/>
          <w:szCs w:val="24"/>
          <w:lang w:val="uk-UA"/>
        </w:rPr>
      </w:pPr>
    </w:p>
    <w:p w14:paraId="17A86DD0" w14:textId="77777777" w:rsidR="00A34A94" w:rsidRDefault="00A34A94" w:rsidP="00AE0183">
      <w:pPr>
        <w:tabs>
          <w:tab w:val="left" w:pos="426"/>
        </w:tabs>
        <w:ind w:left="360"/>
        <w:jc w:val="center"/>
        <w:rPr>
          <w:b/>
          <w:sz w:val="24"/>
          <w:szCs w:val="24"/>
          <w:lang w:val="uk-UA"/>
        </w:rPr>
      </w:pPr>
    </w:p>
    <w:p w14:paraId="33898347" w14:textId="77777777" w:rsidR="00A34A94" w:rsidRDefault="00A34A94" w:rsidP="00AE0183">
      <w:pPr>
        <w:tabs>
          <w:tab w:val="left" w:pos="426"/>
        </w:tabs>
        <w:ind w:left="360"/>
        <w:jc w:val="center"/>
        <w:rPr>
          <w:b/>
          <w:sz w:val="24"/>
          <w:szCs w:val="24"/>
          <w:lang w:val="uk-UA"/>
        </w:rPr>
      </w:pPr>
    </w:p>
    <w:p w14:paraId="3D7E15E8" w14:textId="77777777" w:rsidR="00A34A94" w:rsidRDefault="00A34A94" w:rsidP="00AE0183">
      <w:pPr>
        <w:tabs>
          <w:tab w:val="left" w:pos="426"/>
        </w:tabs>
        <w:ind w:left="360"/>
        <w:jc w:val="center"/>
        <w:rPr>
          <w:b/>
          <w:sz w:val="24"/>
          <w:szCs w:val="24"/>
          <w:lang w:val="uk-UA"/>
        </w:rPr>
      </w:pP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lastRenderedPageBreak/>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77777777" w:rsidR="00006F7B" w:rsidRPr="004177DD" w:rsidRDefault="00006F7B" w:rsidP="00006F7B">
            <w:pPr>
              <w:ind w:left="-32" w:right="185"/>
              <w:rPr>
                <w:bCs/>
                <w:sz w:val="24"/>
                <w:szCs w:val="24"/>
                <w:lang w:val="uk-UA"/>
              </w:rPr>
            </w:pPr>
            <w:r w:rsidRPr="004675F9">
              <w:rPr>
                <w:bCs/>
                <w:sz w:val="24"/>
                <w:szCs w:val="24"/>
                <w:lang w:val="uk-UA"/>
              </w:rPr>
              <w:t>UA678201720343181001600092617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4DB392ED"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hrs@police.gov.ua</w:t>
            </w:r>
          </w:p>
          <w:p w14:paraId="394B74A8" w14:textId="6440C078" w:rsidR="004177DD" w:rsidRPr="004177DD" w:rsidRDefault="00840FC6" w:rsidP="00840FC6">
            <w:pPr>
              <w:ind w:right="185"/>
              <w:rPr>
                <w:bCs/>
                <w:sz w:val="24"/>
                <w:szCs w:val="24"/>
                <w:lang w:val="uk-UA"/>
              </w:rPr>
            </w:pPr>
            <w:r w:rsidRPr="00840FC6">
              <w:rPr>
                <w:bCs/>
                <w:sz w:val="24"/>
                <w:szCs w:val="24"/>
                <w:lang w:val="uk-UA"/>
              </w:rPr>
              <w:t>м. Миколаїв, вул. Спаська, 39</w:t>
            </w: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79895FD" w14:textId="77777777" w:rsidR="00ED6D70" w:rsidRDefault="00ED6D70" w:rsidP="004177DD">
      <w:pPr>
        <w:jc w:val="right"/>
        <w:rPr>
          <w:spacing w:val="-2"/>
          <w:sz w:val="24"/>
          <w:szCs w:val="24"/>
          <w:lang w:val="uk-UA"/>
        </w:rPr>
      </w:pPr>
    </w:p>
    <w:p w14:paraId="14996237" w14:textId="77777777" w:rsidR="00A34A94" w:rsidRDefault="00A34A94" w:rsidP="004177DD">
      <w:pPr>
        <w:jc w:val="right"/>
        <w:rPr>
          <w:spacing w:val="-2"/>
          <w:sz w:val="24"/>
          <w:szCs w:val="24"/>
          <w:lang w:val="uk-UA"/>
        </w:rPr>
      </w:pPr>
    </w:p>
    <w:p w14:paraId="5B598636" w14:textId="77777777" w:rsidR="00A34A94" w:rsidRDefault="00A34A94" w:rsidP="004177DD">
      <w:pPr>
        <w:jc w:val="right"/>
        <w:rPr>
          <w:spacing w:val="-2"/>
          <w:sz w:val="24"/>
          <w:szCs w:val="24"/>
          <w:lang w:val="uk-UA"/>
        </w:rPr>
      </w:pPr>
    </w:p>
    <w:p w14:paraId="147EA23B" w14:textId="77777777" w:rsidR="00A34A94" w:rsidRDefault="00A34A94" w:rsidP="004177DD">
      <w:pPr>
        <w:jc w:val="right"/>
        <w:rPr>
          <w:spacing w:val="-2"/>
          <w:sz w:val="24"/>
          <w:szCs w:val="24"/>
          <w:lang w:val="uk-UA"/>
        </w:rPr>
      </w:pPr>
    </w:p>
    <w:p w14:paraId="59227864" w14:textId="77777777" w:rsidR="00A34A94" w:rsidRDefault="00A34A94" w:rsidP="004177DD">
      <w:pPr>
        <w:jc w:val="right"/>
        <w:rPr>
          <w:spacing w:val="-2"/>
          <w:sz w:val="24"/>
          <w:szCs w:val="24"/>
          <w:lang w:val="uk-UA"/>
        </w:rPr>
      </w:pPr>
    </w:p>
    <w:p w14:paraId="1A716EB2" w14:textId="77777777" w:rsidR="00A34A94" w:rsidRDefault="00A34A94" w:rsidP="004177DD">
      <w:pPr>
        <w:jc w:val="right"/>
        <w:rPr>
          <w:spacing w:val="-2"/>
          <w:sz w:val="24"/>
          <w:szCs w:val="24"/>
          <w:lang w:val="uk-UA"/>
        </w:rPr>
      </w:pPr>
    </w:p>
    <w:p w14:paraId="0CB05864" w14:textId="77777777" w:rsidR="00A34A94" w:rsidRDefault="00A34A94" w:rsidP="004177DD">
      <w:pPr>
        <w:jc w:val="right"/>
        <w:rPr>
          <w:spacing w:val="-2"/>
          <w:sz w:val="24"/>
          <w:szCs w:val="24"/>
          <w:lang w:val="uk-UA"/>
        </w:rPr>
      </w:pPr>
    </w:p>
    <w:p w14:paraId="643BB0DE" w14:textId="77777777" w:rsidR="00A34A94" w:rsidRDefault="00A34A94" w:rsidP="004177DD">
      <w:pPr>
        <w:jc w:val="right"/>
        <w:rPr>
          <w:spacing w:val="-2"/>
          <w:sz w:val="24"/>
          <w:szCs w:val="24"/>
          <w:lang w:val="uk-UA"/>
        </w:rPr>
      </w:pPr>
    </w:p>
    <w:p w14:paraId="60FD2BDC" w14:textId="77777777" w:rsidR="00A34A94" w:rsidRDefault="00A34A94" w:rsidP="004177DD">
      <w:pPr>
        <w:jc w:val="right"/>
        <w:rPr>
          <w:spacing w:val="-2"/>
          <w:sz w:val="24"/>
          <w:szCs w:val="24"/>
          <w:lang w:val="uk-UA"/>
        </w:rPr>
      </w:pPr>
    </w:p>
    <w:p w14:paraId="6B887062" w14:textId="77777777" w:rsidR="00A34A94" w:rsidRDefault="00A34A94" w:rsidP="004177DD">
      <w:pPr>
        <w:jc w:val="right"/>
        <w:rPr>
          <w:spacing w:val="-2"/>
          <w:sz w:val="24"/>
          <w:szCs w:val="24"/>
          <w:lang w:val="uk-UA"/>
        </w:rPr>
      </w:pPr>
    </w:p>
    <w:p w14:paraId="6C4C5B28" w14:textId="77777777" w:rsidR="00A34A94" w:rsidRDefault="00A34A94" w:rsidP="004177DD">
      <w:pPr>
        <w:jc w:val="right"/>
        <w:rPr>
          <w:spacing w:val="-2"/>
          <w:sz w:val="24"/>
          <w:szCs w:val="24"/>
          <w:lang w:val="uk-UA"/>
        </w:rPr>
      </w:pPr>
    </w:p>
    <w:p w14:paraId="4851FB9A" w14:textId="77777777" w:rsidR="00A34A94" w:rsidRDefault="00A34A94" w:rsidP="004177DD">
      <w:pPr>
        <w:jc w:val="right"/>
        <w:rPr>
          <w:spacing w:val="-2"/>
          <w:sz w:val="24"/>
          <w:szCs w:val="24"/>
          <w:lang w:val="uk-UA"/>
        </w:rPr>
      </w:pPr>
    </w:p>
    <w:p w14:paraId="0C2E1658" w14:textId="77777777" w:rsidR="00A34A94" w:rsidRDefault="00A34A94" w:rsidP="004177DD">
      <w:pPr>
        <w:jc w:val="right"/>
        <w:rPr>
          <w:spacing w:val="-2"/>
          <w:sz w:val="24"/>
          <w:szCs w:val="24"/>
          <w:lang w:val="uk-UA"/>
        </w:rPr>
      </w:pPr>
    </w:p>
    <w:p w14:paraId="5F1BE7D0" w14:textId="77777777" w:rsidR="00A34A94" w:rsidRDefault="00A34A94" w:rsidP="004177DD">
      <w:pPr>
        <w:jc w:val="right"/>
        <w:rPr>
          <w:spacing w:val="-2"/>
          <w:sz w:val="24"/>
          <w:szCs w:val="24"/>
          <w:lang w:val="uk-UA"/>
        </w:rPr>
      </w:pPr>
    </w:p>
    <w:p w14:paraId="4C98F918" w14:textId="77777777" w:rsidR="00A34A94" w:rsidRDefault="00A34A94" w:rsidP="004177DD">
      <w:pPr>
        <w:jc w:val="right"/>
        <w:rPr>
          <w:spacing w:val="-2"/>
          <w:sz w:val="24"/>
          <w:szCs w:val="24"/>
          <w:lang w:val="uk-UA"/>
        </w:rPr>
      </w:pPr>
    </w:p>
    <w:p w14:paraId="2398E217" w14:textId="77777777" w:rsidR="00A34A94" w:rsidRDefault="00A34A94" w:rsidP="004177DD">
      <w:pPr>
        <w:jc w:val="right"/>
        <w:rPr>
          <w:spacing w:val="-2"/>
          <w:sz w:val="24"/>
          <w:szCs w:val="24"/>
          <w:lang w:val="uk-UA"/>
        </w:rPr>
      </w:pPr>
    </w:p>
    <w:p w14:paraId="3B265410" w14:textId="77777777" w:rsidR="00A34A94" w:rsidRDefault="00A34A94" w:rsidP="004177DD">
      <w:pPr>
        <w:jc w:val="right"/>
        <w:rPr>
          <w:spacing w:val="-2"/>
          <w:sz w:val="24"/>
          <w:szCs w:val="24"/>
          <w:lang w:val="uk-UA"/>
        </w:rPr>
      </w:pPr>
    </w:p>
    <w:p w14:paraId="4873BD22" w14:textId="77777777" w:rsidR="00A34A94" w:rsidRDefault="00A34A94" w:rsidP="004177DD">
      <w:pPr>
        <w:jc w:val="right"/>
        <w:rPr>
          <w:spacing w:val="-2"/>
          <w:sz w:val="24"/>
          <w:szCs w:val="24"/>
          <w:lang w:val="uk-UA"/>
        </w:rPr>
      </w:pPr>
    </w:p>
    <w:p w14:paraId="1B2B9A98" w14:textId="77777777" w:rsidR="00A34A94" w:rsidRDefault="00A34A94" w:rsidP="004177DD">
      <w:pPr>
        <w:jc w:val="right"/>
        <w:rPr>
          <w:spacing w:val="-2"/>
          <w:sz w:val="24"/>
          <w:szCs w:val="24"/>
          <w:lang w:val="uk-UA"/>
        </w:rPr>
      </w:pPr>
    </w:p>
    <w:p w14:paraId="72D67981" w14:textId="77777777" w:rsidR="00A34A94" w:rsidRDefault="00A34A94" w:rsidP="004177DD">
      <w:pPr>
        <w:jc w:val="right"/>
        <w:rPr>
          <w:spacing w:val="-2"/>
          <w:sz w:val="24"/>
          <w:szCs w:val="24"/>
          <w:lang w:val="uk-UA"/>
        </w:rPr>
      </w:pPr>
    </w:p>
    <w:p w14:paraId="29004439" w14:textId="77777777" w:rsidR="00A34A94" w:rsidRDefault="00A34A94" w:rsidP="004177DD">
      <w:pPr>
        <w:jc w:val="right"/>
        <w:rPr>
          <w:spacing w:val="-2"/>
          <w:sz w:val="24"/>
          <w:szCs w:val="24"/>
          <w:lang w:val="uk-UA"/>
        </w:rPr>
      </w:pPr>
    </w:p>
    <w:p w14:paraId="0A460A03" w14:textId="77777777" w:rsidR="00A34A94" w:rsidRDefault="00A34A94" w:rsidP="004177DD">
      <w:pPr>
        <w:jc w:val="right"/>
        <w:rPr>
          <w:spacing w:val="-2"/>
          <w:sz w:val="24"/>
          <w:szCs w:val="24"/>
          <w:lang w:val="uk-UA"/>
        </w:rPr>
      </w:pPr>
    </w:p>
    <w:p w14:paraId="3BFADD9F" w14:textId="77777777" w:rsidR="00A34A94" w:rsidRDefault="00A34A94" w:rsidP="004177DD">
      <w:pPr>
        <w:jc w:val="right"/>
        <w:rPr>
          <w:spacing w:val="-2"/>
          <w:sz w:val="24"/>
          <w:szCs w:val="24"/>
          <w:lang w:val="uk-UA"/>
        </w:rPr>
      </w:pPr>
    </w:p>
    <w:p w14:paraId="2214F002" w14:textId="77777777" w:rsidR="00A34A94" w:rsidRDefault="00A34A94" w:rsidP="004177DD">
      <w:pPr>
        <w:jc w:val="right"/>
        <w:rPr>
          <w:spacing w:val="-2"/>
          <w:sz w:val="24"/>
          <w:szCs w:val="24"/>
          <w:lang w:val="uk-UA"/>
        </w:rPr>
      </w:pPr>
    </w:p>
    <w:p w14:paraId="18484F00" w14:textId="77777777" w:rsidR="00A34A94" w:rsidRDefault="00A34A94" w:rsidP="004177DD">
      <w:pPr>
        <w:jc w:val="right"/>
        <w:rPr>
          <w:spacing w:val="-2"/>
          <w:sz w:val="24"/>
          <w:szCs w:val="24"/>
          <w:lang w:val="uk-UA"/>
        </w:rPr>
      </w:pPr>
    </w:p>
    <w:p w14:paraId="290B7769" w14:textId="77777777" w:rsidR="00A34A94" w:rsidRDefault="00A34A94" w:rsidP="004177DD">
      <w:pPr>
        <w:jc w:val="right"/>
        <w:rPr>
          <w:spacing w:val="-2"/>
          <w:sz w:val="24"/>
          <w:szCs w:val="24"/>
          <w:lang w:val="uk-UA"/>
        </w:rPr>
      </w:pPr>
    </w:p>
    <w:p w14:paraId="37F0CAC4" w14:textId="77777777" w:rsidR="00A34A94" w:rsidRDefault="00A34A94" w:rsidP="004177DD">
      <w:pPr>
        <w:jc w:val="right"/>
        <w:rPr>
          <w:spacing w:val="-2"/>
          <w:sz w:val="24"/>
          <w:szCs w:val="24"/>
          <w:lang w:val="uk-UA"/>
        </w:rPr>
      </w:pPr>
    </w:p>
    <w:p w14:paraId="2B9F8FF4" w14:textId="77777777" w:rsidR="00A34A94" w:rsidRDefault="00A34A94" w:rsidP="004177DD">
      <w:pPr>
        <w:jc w:val="right"/>
        <w:rPr>
          <w:spacing w:val="-2"/>
          <w:sz w:val="24"/>
          <w:szCs w:val="24"/>
          <w:lang w:val="uk-UA"/>
        </w:rPr>
      </w:pPr>
    </w:p>
    <w:p w14:paraId="236259CF" w14:textId="77777777" w:rsidR="00A34A94" w:rsidRDefault="00A34A94" w:rsidP="004177DD">
      <w:pPr>
        <w:jc w:val="right"/>
        <w:rPr>
          <w:spacing w:val="-2"/>
          <w:sz w:val="24"/>
          <w:szCs w:val="24"/>
          <w:lang w:val="uk-UA"/>
        </w:rPr>
      </w:pPr>
    </w:p>
    <w:p w14:paraId="0F1C2FB2" w14:textId="77777777" w:rsidR="00A34A94" w:rsidRDefault="00A34A94" w:rsidP="004177DD">
      <w:pPr>
        <w:jc w:val="right"/>
        <w:rPr>
          <w:spacing w:val="-2"/>
          <w:sz w:val="24"/>
          <w:szCs w:val="24"/>
          <w:lang w:val="uk-UA"/>
        </w:rPr>
      </w:pPr>
    </w:p>
    <w:p w14:paraId="475E7CCE" w14:textId="77777777" w:rsidR="00A34A94" w:rsidRDefault="00A34A94" w:rsidP="004177DD">
      <w:pPr>
        <w:jc w:val="right"/>
        <w:rPr>
          <w:spacing w:val="-2"/>
          <w:sz w:val="24"/>
          <w:szCs w:val="24"/>
          <w:lang w:val="uk-UA"/>
        </w:rPr>
      </w:pPr>
    </w:p>
    <w:p w14:paraId="0EE6CD12" w14:textId="77777777" w:rsidR="00A34A94" w:rsidRDefault="00A34A94" w:rsidP="004177DD">
      <w:pPr>
        <w:jc w:val="right"/>
        <w:rPr>
          <w:spacing w:val="-2"/>
          <w:sz w:val="24"/>
          <w:szCs w:val="24"/>
          <w:lang w:val="uk-UA"/>
        </w:rPr>
      </w:pPr>
    </w:p>
    <w:p w14:paraId="4755E409" w14:textId="77777777" w:rsidR="00A34A94" w:rsidRDefault="00A34A94" w:rsidP="004177DD">
      <w:pPr>
        <w:jc w:val="right"/>
        <w:rPr>
          <w:spacing w:val="-2"/>
          <w:sz w:val="24"/>
          <w:szCs w:val="24"/>
          <w:lang w:val="uk-UA"/>
        </w:rPr>
      </w:pPr>
    </w:p>
    <w:p w14:paraId="7B778125" w14:textId="77777777" w:rsidR="00ED6D70" w:rsidRDefault="00ED6D70" w:rsidP="004177DD">
      <w:pPr>
        <w:jc w:val="right"/>
        <w:rPr>
          <w:spacing w:val="-2"/>
          <w:sz w:val="24"/>
          <w:szCs w:val="24"/>
          <w:lang w:val="uk-UA"/>
        </w:rPr>
      </w:pPr>
    </w:p>
    <w:p w14:paraId="32A26A25" w14:textId="77777777" w:rsidR="00ED6D70" w:rsidRDefault="00ED6D70" w:rsidP="004177DD">
      <w:pPr>
        <w:jc w:val="right"/>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2EF50BC6"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170CDB">
        <w:rPr>
          <w:sz w:val="24"/>
          <w:szCs w:val="24"/>
          <w:shd w:val="clear" w:color="auto" w:fill="FFFFFF"/>
          <w:lang w:val="uk-UA"/>
        </w:rPr>
        <w:t>3</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lastRenderedPageBreak/>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502E09"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502E09"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02205DB" w14:textId="4AA805B5" w:rsidR="00A34A94" w:rsidRPr="004177DD" w:rsidRDefault="004675F9" w:rsidP="00273C7A">
            <w:pPr>
              <w:ind w:left="-32" w:right="185"/>
              <w:rPr>
                <w:bCs/>
                <w:sz w:val="24"/>
                <w:szCs w:val="24"/>
                <w:lang w:val="uk-UA"/>
              </w:rPr>
            </w:pPr>
            <w:r w:rsidRPr="004675F9">
              <w:rPr>
                <w:bCs/>
                <w:sz w:val="24"/>
                <w:szCs w:val="24"/>
                <w:lang w:val="uk-UA"/>
              </w:rPr>
              <w:t>UA678201720343181001600092617</w:t>
            </w:r>
          </w:p>
          <w:p w14:paraId="14479B32" w14:textId="77777777"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77777777"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hrs@police.gov.ua</w:t>
            </w:r>
          </w:p>
          <w:p w14:paraId="65B7ACA0" w14:textId="77777777" w:rsidR="00A34A94" w:rsidRPr="004177DD" w:rsidRDefault="00A34A94" w:rsidP="00273C7A">
            <w:pPr>
              <w:ind w:right="185"/>
              <w:rPr>
                <w:bCs/>
                <w:sz w:val="24"/>
                <w:szCs w:val="24"/>
                <w:lang w:val="uk-UA"/>
              </w:rPr>
            </w:pPr>
            <w:r w:rsidRPr="00840FC6">
              <w:rPr>
                <w:bCs/>
                <w:sz w:val="24"/>
                <w:szCs w:val="24"/>
                <w:lang w:val="uk-UA"/>
              </w:rPr>
              <w:t>м. Миколаїв, вул. Спаська, 39</w:t>
            </w:r>
          </w:p>
          <w:p w14:paraId="526671FB" w14:textId="77777777" w:rsidR="00A34A94" w:rsidRDefault="00A34A94" w:rsidP="00273C7A">
            <w:pPr>
              <w:ind w:left="-32" w:right="185"/>
              <w:rPr>
                <w:bCs/>
                <w:sz w:val="24"/>
                <w:szCs w:val="24"/>
                <w:lang w:val="uk-UA"/>
              </w:rPr>
            </w:pP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A618" w14:textId="77777777" w:rsidR="0017052B" w:rsidRDefault="0017052B">
      <w:r>
        <w:separator/>
      </w:r>
    </w:p>
  </w:endnote>
  <w:endnote w:type="continuationSeparator" w:id="0">
    <w:p w14:paraId="41642B13" w14:textId="77777777" w:rsidR="0017052B" w:rsidRDefault="0017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34E4" w14:textId="77777777" w:rsidR="0017052B" w:rsidRDefault="0017052B">
      <w:r>
        <w:separator/>
      </w:r>
    </w:p>
  </w:footnote>
  <w:footnote w:type="continuationSeparator" w:id="0">
    <w:p w14:paraId="03D686E0" w14:textId="77777777" w:rsidR="0017052B" w:rsidRDefault="0017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52B"/>
    <w:rsid w:val="00170CDB"/>
    <w:rsid w:val="00170E92"/>
    <w:rsid w:val="00174076"/>
    <w:rsid w:val="00174A49"/>
    <w:rsid w:val="0018704F"/>
    <w:rsid w:val="0019393C"/>
    <w:rsid w:val="001C59B3"/>
    <w:rsid w:val="001D4325"/>
    <w:rsid w:val="001E043E"/>
    <w:rsid w:val="001F0AF7"/>
    <w:rsid w:val="001F6A3C"/>
    <w:rsid w:val="001F6B4F"/>
    <w:rsid w:val="002000CC"/>
    <w:rsid w:val="00203AC7"/>
    <w:rsid w:val="00207349"/>
    <w:rsid w:val="00207DB5"/>
    <w:rsid w:val="00212957"/>
    <w:rsid w:val="00216A0C"/>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77DD"/>
    <w:rsid w:val="00423DE3"/>
    <w:rsid w:val="00435548"/>
    <w:rsid w:val="00436737"/>
    <w:rsid w:val="00461138"/>
    <w:rsid w:val="004675F9"/>
    <w:rsid w:val="00474332"/>
    <w:rsid w:val="00475C34"/>
    <w:rsid w:val="004771C5"/>
    <w:rsid w:val="00483F56"/>
    <w:rsid w:val="00487DE0"/>
    <w:rsid w:val="00491166"/>
    <w:rsid w:val="00497CA4"/>
    <w:rsid w:val="004A77DE"/>
    <w:rsid w:val="004B6406"/>
    <w:rsid w:val="004D0EF8"/>
    <w:rsid w:val="00500A72"/>
    <w:rsid w:val="00502E09"/>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6E8D"/>
    <w:rsid w:val="00840FC6"/>
    <w:rsid w:val="00842092"/>
    <w:rsid w:val="008473FF"/>
    <w:rsid w:val="008545BC"/>
    <w:rsid w:val="00864B6C"/>
    <w:rsid w:val="00866DB0"/>
    <w:rsid w:val="00885743"/>
    <w:rsid w:val="00886025"/>
    <w:rsid w:val="008929C4"/>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8063D"/>
    <w:rsid w:val="00982910"/>
    <w:rsid w:val="00993157"/>
    <w:rsid w:val="009A211D"/>
    <w:rsid w:val="009B01B0"/>
    <w:rsid w:val="009B4C5B"/>
    <w:rsid w:val="009B6232"/>
    <w:rsid w:val="009B64F0"/>
    <w:rsid w:val="009B71EF"/>
    <w:rsid w:val="009C0A1E"/>
    <w:rsid w:val="009C0FEB"/>
    <w:rsid w:val="009C4148"/>
    <w:rsid w:val="009C79CB"/>
    <w:rsid w:val="009E37BA"/>
    <w:rsid w:val="009F4543"/>
    <w:rsid w:val="00A0102B"/>
    <w:rsid w:val="00A015B9"/>
    <w:rsid w:val="00A12531"/>
    <w:rsid w:val="00A34A94"/>
    <w:rsid w:val="00A357D7"/>
    <w:rsid w:val="00A3763F"/>
    <w:rsid w:val="00A46EE8"/>
    <w:rsid w:val="00A471B7"/>
    <w:rsid w:val="00A502D5"/>
    <w:rsid w:val="00A60A8E"/>
    <w:rsid w:val="00A6489F"/>
    <w:rsid w:val="00A650B4"/>
    <w:rsid w:val="00A779DB"/>
    <w:rsid w:val="00A8592D"/>
    <w:rsid w:val="00A87016"/>
    <w:rsid w:val="00A872E0"/>
    <w:rsid w:val="00A913D2"/>
    <w:rsid w:val="00A9354A"/>
    <w:rsid w:val="00A96FB3"/>
    <w:rsid w:val="00AA3C58"/>
    <w:rsid w:val="00AA4AB9"/>
    <w:rsid w:val="00AC144E"/>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B2A26"/>
    <w:rsid w:val="00CF1422"/>
    <w:rsid w:val="00CF60C5"/>
    <w:rsid w:val="00D139EB"/>
    <w:rsid w:val="00D14BD2"/>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7832"/>
    <w:rsid w:val="00DC552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41A74"/>
    <w:rsid w:val="00F44AB0"/>
    <w:rsid w:val="00F564B9"/>
    <w:rsid w:val="00F56CD2"/>
    <w:rsid w:val="00F61C1E"/>
    <w:rsid w:val="00F62DED"/>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2702</Words>
  <Characters>15407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Дима</cp:lastModifiedBy>
  <cp:revision>15</cp:revision>
  <cp:lastPrinted>2021-03-09T08:22:00Z</cp:lastPrinted>
  <dcterms:created xsi:type="dcterms:W3CDTF">2023-03-01T11:21:00Z</dcterms:created>
  <dcterms:modified xsi:type="dcterms:W3CDTF">2023-07-14T13:18:00Z</dcterms:modified>
</cp:coreProperties>
</file>