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DA46" w14:textId="77777777" w:rsidR="00BF52C4" w:rsidRPr="00AF596B" w:rsidRDefault="00BF52C4" w:rsidP="00AF596B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14:paraId="4A5F55B8" w14:textId="77777777"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14:paraId="466846B7" w14:textId="77777777"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  <w:r w:rsidR="00165B21">
        <w:rPr>
          <w:b/>
          <w:sz w:val="24"/>
          <w:lang w:val="uk-UA"/>
        </w:rPr>
        <w:t xml:space="preserve"> </w:t>
      </w:r>
    </w:p>
    <w:p w14:paraId="296DB046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70104671" w14:textId="77777777" w:rsidR="00BF52C4" w:rsidRPr="00FB7A67" w:rsidRDefault="00BF52C4" w:rsidP="00BF52C4">
      <w:pPr>
        <w:spacing w:after="0"/>
        <w:ind w:firstLine="567"/>
        <w:jc w:val="both"/>
        <w:rPr>
          <w:sz w:val="20"/>
          <w:szCs w:val="20"/>
        </w:rPr>
      </w:pPr>
      <w:proofErr w:type="spellStart"/>
      <w:r w:rsidRPr="00FB7A67">
        <w:rPr>
          <w:sz w:val="20"/>
          <w:szCs w:val="20"/>
        </w:rPr>
        <w:t>Технічні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якісні</w:t>
      </w:r>
      <w:proofErr w:type="spellEnd"/>
      <w:r w:rsidRPr="00FB7A67">
        <w:rPr>
          <w:sz w:val="20"/>
          <w:szCs w:val="20"/>
        </w:rPr>
        <w:t xml:space="preserve"> характеристики предмета </w:t>
      </w:r>
      <w:proofErr w:type="spellStart"/>
      <w:r w:rsidRPr="00FB7A67">
        <w:rPr>
          <w:sz w:val="20"/>
          <w:szCs w:val="20"/>
        </w:rPr>
        <w:t>закупівлі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повинні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передбачати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необхідність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застосування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proofErr w:type="gramStart"/>
      <w:r w:rsidRPr="00FB7A67">
        <w:rPr>
          <w:sz w:val="20"/>
          <w:szCs w:val="20"/>
        </w:rPr>
        <w:t>заходів</w:t>
      </w:r>
      <w:proofErr w:type="spellEnd"/>
      <w:r w:rsidRPr="00FB7A67">
        <w:rPr>
          <w:sz w:val="20"/>
          <w:szCs w:val="20"/>
        </w:rPr>
        <w:t xml:space="preserve">  </w:t>
      </w:r>
      <w:proofErr w:type="spellStart"/>
      <w:r w:rsidRPr="00FB7A67">
        <w:rPr>
          <w:sz w:val="20"/>
          <w:szCs w:val="20"/>
        </w:rPr>
        <w:t>із</w:t>
      </w:r>
      <w:proofErr w:type="spellEnd"/>
      <w:proofErr w:type="gramEnd"/>
      <w:r w:rsidRPr="00FB7A67">
        <w:rPr>
          <w:sz w:val="20"/>
          <w:szCs w:val="20"/>
        </w:rPr>
        <w:t xml:space="preserve">  </w:t>
      </w:r>
      <w:proofErr w:type="spellStart"/>
      <w:r w:rsidRPr="00FB7A67">
        <w:rPr>
          <w:sz w:val="20"/>
          <w:szCs w:val="20"/>
        </w:rPr>
        <w:t>захисту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довкілля</w:t>
      </w:r>
      <w:proofErr w:type="spellEnd"/>
      <w:r w:rsidRPr="00FB7A67">
        <w:rPr>
          <w:sz w:val="20"/>
          <w:szCs w:val="20"/>
        </w:rPr>
        <w:t>.</w:t>
      </w:r>
    </w:p>
    <w:p w14:paraId="3B6B5529" w14:textId="77777777" w:rsidR="004C050A" w:rsidRPr="001A6D59" w:rsidRDefault="00BF52C4" w:rsidP="00DA1BB1">
      <w:pPr>
        <w:spacing w:after="0"/>
        <w:ind w:firstLine="567"/>
        <w:jc w:val="both"/>
        <w:rPr>
          <w:b/>
          <w:lang w:val="uk-UA"/>
        </w:rPr>
      </w:pPr>
      <w:r w:rsidRPr="00FB7A67">
        <w:rPr>
          <w:sz w:val="20"/>
          <w:szCs w:val="20"/>
        </w:rPr>
        <w:t xml:space="preserve">У </w:t>
      </w:r>
      <w:proofErr w:type="spellStart"/>
      <w:r w:rsidRPr="00FB7A67">
        <w:rPr>
          <w:sz w:val="20"/>
          <w:szCs w:val="20"/>
        </w:rPr>
        <w:t>разі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нижче</w:t>
      </w:r>
      <w:proofErr w:type="spellEnd"/>
      <w:r w:rsidRPr="00FB7A67">
        <w:rPr>
          <w:sz w:val="20"/>
          <w:szCs w:val="20"/>
        </w:rPr>
        <w:t xml:space="preserve"> по тексту </w:t>
      </w:r>
      <w:proofErr w:type="spellStart"/>
      <w:r w:rsidRPr="00FB7A67">
        <w:rPr>
          <w:sz w:val="20"/>
          <w:szCs w:val="20"/>
        </w:rPr>
        <w:t>технічні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специфікації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містять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посилання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конкретні</w:t>
      </w:r>
      <w:proofErr w:type="spellEnd"/>
      <w:r w:rsidRPr="00FB7A67">
        <w:rPr>
          <w:sz w:val="20"/>
          <w:szCs w:val="20"/>
        </w:rPr>
        <w:t xml:space="preserve"> марку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виробника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конкретний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процес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характеризує</w:t>
      </w:r>
      <w:proofErr w:type="spellEnd"/>
      <w:r w:rsidRPr="00FB7A67">
        <w:rPr>
          <w:sz w:val="20"/>
          <w:szCs w:val="20"/>
        </w:rPr>
        <w:t xml:space="preserve"> продукт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послугу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певного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суб’єкта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господарювання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торгові</w:t>
      </w:r>
      <w:proofErr w:type="spellEnd"/>
      <w:r w:rsidRPr="00FB7A67">
        <w:rPr>
          <w:sz w:val="20"/>
          <w:szCs w:val="20"/>
        </w:rPr>
        <w:t xml:space="preserve"> марки, </w:t>
      </w:r>
      <w:proofErr w:type="spellStart"/>
      <w:r w:rsidRPr="00FB7A67">
        <w:rPr>
          <w:sz w:val="20"/>
          <w:szCs w:val="20"/>
        </w:rPr>
        <w:t>патенти</w:t>
      </w:r>
      <w:proofErr w:type="spellEnd"/>
      <w:r w:rsidRPr="00FB7A67">
        <w:rPr>
          <w:sz w:val="20"/>
          <w:szCs w:val="20"/>
        </w:rPr>
        <w:t xml:space="preserve">, типи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конкретне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місце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походження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спосіб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виробництва</w:t>
      </w:r>
      <w:proofErr w:type="spellEnd"/>
      <w:r w:rsidRPr="00FB7A67">
        <w:rPr>
          <w:sz w:val="20"/>
          <w:szCs w:val="20"/>
        </w:rPr>
        <w:t xml:space="preserve">. - </w:t>
      </w:r>
      <w:proofErr w:type="spellStart"/>
      <w:proofErr w:type="gramStart"/>
      <w:r w:rsidRPr="00FB7A67">
        <w:rPr>
          <w:sz w:val="20"/>
          <w:szCs w:val="20"/>
        </w:rPr>
        <w:t>читати</w:t>
      </w:r>
      <w:proofErr w:type="spellEnd"/>
      <w:r w:rsidRPr="00FB7A67">
        <w:rPr>
          <w:sz w:val="20"/>
          <w:szCs w:val="20"/>
        </w:rPr>
        <w:t xml:space="preserve">  "</w:t>
      </w:r>
      <w:proofErr w:type="spellStart"/>
      <w:proofErr w:type="gramEnd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еквівалент</w:t>
      </w:r>
      <w:proofErr w:type="spellEnd"/>
      <w:r w:rsidRPr="00FB7A67">
        <w:rPr>
          <w:sz w:val="20"/>
          <w:szCs w:val="20"/>
        </w:rPr>
        <w:t xml:space="preserve">". 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781"/>
        <w:gridCol w:w="888"/>
        <w:gridCol w:w="3903"/>
        <w:gridCol w:w="610"/>
        <w:gridCol w:w="1472"/>
        <w:gridCol w:w="220"/>
        <w:gridCol w:w="1248"/>
        <w:gridCol w:w="311"/>
        <w:gridCol w:w="744"/>
        <w:gridCol w:w="277"/>
      </w:tblGrid>
      <w:tr w:rsidR="00AF08D9" w:rsidRPr="00422B7E" w14:paraId="5253E310" w14:textId="77777777" w:rsidTr="00B6087B">
        <w:trPr>
          <w:trHeight w:val="244"/>
        </w:trPr>
        <w:tc>
          <w:tcPr>
            <w:tcW w:w="5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12EB" w14:textId="77777777" w:rsidR="00AF08D9" w:rsidRPr="00422B7E" w:rsidRDefault="00AF08D9" w:rsidP="00B6087B">
            <w:pPr>
              <w:spacing w:after="0" w:line="24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9272" w14:textId="77777777" w:rsidR="00AF08D9" w:rsidRPr="00422B7E" w:rsidRDefault="00AF08D9" w:rsidP="00B6087B">
            <w:pPr>
              <w:spacing w:after="0" w:line="24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76B" w14:textId="77777777" w:rsidR="00AF08D9" w:rsidRPr="00422B7E" w:rsidRDefault="00AF08D9" w:rsidP="00B6087B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AF08D9" w:rsidRPr="00422B7E" w14:paraId="2B7DBA18" w14:textId="77777777" w:rsidTr="00B6087B">
        <w:trPr>
          <w:trHeight w:val="552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CBEE" w14:textId="77777777" w:rsidR="00AF08D9" w:rsidRPr="00422B7E" w:rsidRDefault="00AF08D9" w:rsidP="00B6087B">
            <w:pPr>
              <w:spacing w:after="0" w:line="240" w:lineRule="auto"/>
              <w:ind w:right="527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Поточний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ремонт дороги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вулиці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Вояків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УПА </w:t>
            </w:r>
            <w:proofErr w:type="gram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в 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селищі</w:t>
            </w:r>
            <w:proofErr w:type="spellEnd"/>
            <w:proofErr w:type="gram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Бориня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Самбірського</w:t>
            </w:r>
            <w:proofErr w:type="spellEnd"/>
            <w:r w:rsidRPr="00FD2068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району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Львівської</w:t>
            </w:r>
            <w:proofErr w:type="spellEnd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2B7E">
              <w:rPr>
                <w:b/>
                <w:color w:val="000000"/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19D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41668B72" w14:textId="77777777" w:rsidTr="00B6087B">
        <w:trPr>
          <w:trHeight w:val="24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8FE31" w14:textId="77777777" w:rsidR="00AF08D9" w:rsidRPr="00422B7E" w:rsidRDefault="00AF08D9" w:rsidP="00B6087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E9E" w14:textId="77777777" w:rsidR="00AF08D9" w:rsidRPr="00422B7E" w:rsidRDefault="00AF08D9" w:rsidP="00B6087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  <w:tr w:rsidR="00AF08D9" w:rsidRPr="00422B7E" w14:paraId="0DB49218" w14:textId="77777777" w:rsidTr="00B6087B">
        <w:trPr>
          <w:trHeight w:val="55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929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4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0E15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робіт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витрат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FA5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DD15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43AD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D8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0B1E8443" w14:textId="77777777" w:rsidTr="00B6087B">
        <w:trPr>
          <w:trHeight w:val="304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46E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AB543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8BB5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811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DA3C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143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08F5FAC4" w14:textId="77777777" w:rsidTr="00B6087B">
        <w:trPr>
          <w:trHeight w:val="814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54E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7D31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Локальний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кошторис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02-01-01 на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Поточний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ремонт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br/>
              <w:t xml:space="preserve">дороги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комунальної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власності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по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вулиці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Вояків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УПА в 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селищі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Бориня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Самбірського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району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Львівської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області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F8F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600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842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F77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AF08D9" w:rsidRPr="00422B7E" w14:paraId="69EAF1F6" w14:textId="77777777" w:rsidTr="00B6087B">
        <w:trPr>
          <w:trHeight w:val="244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F35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252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D7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432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98D1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DEC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AF08D9" w:rsidRPr="00422B7E" w14:paraId="44358D33" w14:textId="77777777" w:rsidTr="00B6087B">
        <w:trPr>
          <w:trHeight w:val="293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1524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DE9D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Розбирання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бортових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каменів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EFF15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C9E7F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4E1E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C8E4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156E288D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6A41C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A40F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Навантаження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сміття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екскаваторами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автомобілі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самоскиди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місткість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ковша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екскаватора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0,25 м3.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C9DC8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9DBC52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7,92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9E9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43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4ADDC53F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6549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9EAA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Перевезення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будівельного</w:t>
            </w:r>
            <w:proofErr w:type="spellEnd"/>
            <w:proofErr w:type="gram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сміття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самоскидами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вiдстань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2 км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BD03A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00D45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7,92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05D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AB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10FD0C38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4E8C4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69BD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Установлення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бортових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каменів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бетонних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і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залізобетонних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інших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видах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покриттів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F5CE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B5984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E9E7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1A9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56E1BFC3" w14:textId="77777777" w:rsidTr="00B6087B">
        <w:trPr>
          <w:trHeight w:val="814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A826E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97BE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Холодне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фрезерування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асфальтобетонного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покриття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застосуванням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фрези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, ширина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фрезерування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1000 мм,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за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глибини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фрезерування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5 см (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розпушення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C2F6F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4A63F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1067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682D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D0C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75902D51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683D7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CAD71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Виправлення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профілю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основ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щебеневих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додавання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нового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матеріалу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695D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7EAE52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1067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6492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447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29B651BB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78159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A162B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Улаштування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вирівнювальних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шарів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щебенево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-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піщаної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суміші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С7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511324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8034D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128,04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814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40C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33AD6D2D" w14:textId="77777777" w:rsidTr="00B6087B">
        <w:trPr>
          <w:trHeight w:val="293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A3B2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97FE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Розливання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в'яжучих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матеріалів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0FCE07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FCBD2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0,8536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F2B6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52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711600D8" w14:textId="77777777" w:rsidTr="00B6087B">
        <w:trPr>
          <w:trHeight w:val="814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226EC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01D4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Улаштування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вирівнювального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шару з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асфальтобетонної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суміші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застосуванням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укладальників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асфальтобетону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3EF08A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EC5C3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179,256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8554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F042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46CE9863" w14:textId="77777777" w:rsidTr="00B6087B">
        <w:trPr>
          <w:trHeight w:val="293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B5BBF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A33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Укріплення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узбіччя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втрамбовуванням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щебеню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60BC4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31CED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679F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917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2F35145E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8F06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2CA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Планування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узбіччя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механізованим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способом,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група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ґрунту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79351E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799CF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9935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53C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2E74D2F1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B1E43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4A817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Виправлення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профілю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основ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щебеневих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додавання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нового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матеріалу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D13339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70CBD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9265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71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526269EE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D40DD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4BE8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Улаштування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вирівнювальних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шарів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щебенево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-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піщаної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суміші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С7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2D328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B7122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09C1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1A3D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3C9DA6A3" w14:textId="77777777" w:rsidTr="00B6087B">
        <w:trPr>
          <w:trHeight w:val="293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6AC26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FBBB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Розливання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в'яжучих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матеріалів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40B2E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D99CF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0,048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7996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BB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7DA2C8E4" w14:textId="77777777" w:rsidTr="00B6087B">
        <w:trPr>
          <w:trHeight w:val="814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E7EE1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320A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Улаштування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вирівнювального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шару з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асфальтобетонної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суміші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застосуванням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укладальників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асфальтобетону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A7B3B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658DC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10,08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BE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DEA9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2B07CDF1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1C850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9E1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Розбирання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асфальтобетонних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покриттів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механізованим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способом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B2FFCB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BCDC3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277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3C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2EB71A79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45D35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9F1C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Навантаження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сміття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екскаваторами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автомобілі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самоскиди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місткість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ковша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екскаватора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0,25 м3.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CBB60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5D59A5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10,56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EDE0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989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7DF50EA8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F554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0712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Перевезення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будівельного</w:t>
            </w:r>
            <w:proofErr w:type="spellEnd"/>
            <w:proofErr w:type="gram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сміття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самоскидами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вiдстань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2 км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41BCC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B4E49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10,56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EC96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476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65EA5441" w14:textId="77777777" w:rsidTr="00B6087B">
        <w:trPr>
          <w:trHeight w:val="293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04149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69E7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Установлення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бетонних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поребриків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бетонну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основу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8CC1B3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FB065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C74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AD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6BBAF66F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F3381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7B94E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Виправлення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профілю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основ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щебеневих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додаванням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нового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матеріалу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C85DB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7F5F4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7D5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07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1DAE4B89" w14:textId="77777777" w:rsidTr="00B6087B">
        <w:trPr>
          <w:trHeight w:val="814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CF06A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0884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Улаштування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одношарових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асфальтобетонних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покриттів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доріжок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тротуарів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дрібнозернистої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асфальтобетонної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суміші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товщиною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3 см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83B374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83A96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775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1F5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2568BF91" w14:textId="77777777" w:rsidTr="00B6087B">
        <w:trPr>
          <w:trHeight w:val="552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49512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A642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кожні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0,5 см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зміни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товщини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шару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додавати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виключати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норми</w:t>
            </w:r>
            <w:proofErr w:type="spellEnd"/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18-46-1 (приведено до 4 см)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22032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9FF6B" w14:textId="77777777" w:rsidR="00AF08D9" w:rsidRPr="00422B7E" w:rsidRDefault="00AF08D9" w:rsidP="00B6087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A33B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5E8" w14:textId="77777777" w:rsidR="00AF08D9" w:rsidRPr="00422B7E" w:rsidRDefault="00AF08D9" w:rsidP="00B6087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7C293700" w14:textId="77777777" w:rsidTr="00B6087B">
        <w:trPr>
          <w:trHeight w:val="244"/>
        </w:trPr>
        <w:tc>
          <w:tcPr>
            <w:tcW w:w="1020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E1F0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422B7E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9DF" w14:textId="77777777" w:rsidR="00AF08D9" w:rsidRPr="00422B7E" w:rsidRDefault="00AF08D9" w:rsidP="00B6087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AF08D9" w:rsidRPr="00422B7E" w14:paraId="0300AD62" w14:textId="77777777" w:rsidTr="00B6087B">
        <w:trPr>
          <w:trHeight w:val="244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F6C8" w14:textId="77777777" w:rsidR="00AF08D9" w:rsidRPr="00422B7E" w:rsidRDefault="00AF08D9" w:rsidP="00B6087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6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3331" w14:textId="77777777" w:rsidR="00AF08D9" w:rsidRPr="00422B7E" w:rsidRDefault="00AF08D9" w:rsidP="00B6087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C527" w14:textId="77777777" w:rsidR="00AF08D9" w:rsidRPr="00422B7E" w:rsidRDefault="00AF08D9" w:rsidP="00B6087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47A7" w14:textId="77777777" w:rsidR="00AF08D9" w:rsidRPr="00422B7E" w:rsidRDefault="00AF08D9" w:rsidP="00B6087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</w:tbl>
    <w:p w14:paraId="4C0848AA" w14:textId="77777777" w:rsidR="00AF08D9" w:rsidRPr="00DB61E4" w:rsidRDefault="00AF08D9" w:rsidP="00AF08D9">
      <w:pPr>
        <w:rPr>
          <w:b/>
          <w:sz w:val="28"/>
          <w:szCs w:val="28"/>
        </w:rPr>
      </w:pPr>
      <w:proofErr w:type="spellStart"/>
      <w:r w:rsidRPr="00DB61E4">
        <w:rPr>
          <w:b/>
          <w:sz w:val="28"/>
          <w:szCs w:val="28"/>
        </w:rPr>
        <w:t>Вартість</w:t>
      </w:r>
      <w:proofErr w:type="spellEnd"/>
      <w:r w:rsidRPr="00DB61E4">
        <w:rPr>
          <w:b/>
          <w:sz w:val="28"/>
          <w:szCs w:val="28"/>
        </w:rPr>
        <w:t xml:space="preserve"> </w:t>
      </w:r>
      <w:proofErr w:type="spellStart"/>
      <w:r w:rsidRPr="00DB61E4">
        <w:rPr>
          <w:b/>
          <w:sz w:val="28"/>
          <w:szCs w:val="28"/>
        </w:rPr>
        <w:t>робіт</w:t>
      </w:r>
      <w:proofErr w:type="spellEnd"/>
      <w:r w:rsidRPr="00DB61E4">
        <w:rPr>
          <w:b/>
          <w:sz w:val="28"/>
          <w:szCs w:val="28"/>
        </w:rPr>
        <w:t xml:space="preserve"> </w:t>
      </w:r>
      <w:proofErr w:type="gramStart"/>
      <w:r w:rsidRPr="00DB61E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2170</w:t>
      </w:r>
      <w:proofErr w:type="gramEnd"/>
      <w:r>
        <w:rPr>
          <w:b/>
          <w:sz w:val="28"/>
          <w:szCs w:val="28"/>
        </w:rPr>
        <w:t xml:space="preserve">,0 </w:t>
      </w:r>
      <w:proofErr w:type="spellStart"/>
      <w:r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>.</w:t>
      </w:r>
    </w:p>
    <w:p w14:paraId="52C869DC" w14:textId="77777777" w:rsidR="00211AF0" w:rsidRPr="005C6804" w:rsidRDefault="00211AF0" w:rsidP="00AF08D9">
      <w:pPr>
        <w:rPr>
          <w:lang w:val="uk-UA"/>
        </w:rPr>
      </w:pPr>
    </w:p>
    <w:sectPr w:rsidR="00211AF0" w:rsidRPr="005C6804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BFAA" w14:textId="77777777" w:rsidR="00824E85" w:rsidRDefault="00824E85">
      <w:pPr>
        <w:spacing w:after="0" w:line="240" w:lineRule="auto"/>
      </w:pPr>
      <w:r>
        <w:separator/>
      </w:r>
    </w:p>
  </w:endnote>
  <w:endnote w:type="continuationSeparator" w:id="0">
    <w:p w14:paraId="2B88DB04" w14:textId="77777777" w:rsidR="00824E85" w:rsidRDefault="0082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13F0" w14:textId="77777777" w:rsidR="00824E85" w:rsidRDefault="00824E85">
      <w:pPr>
        <w:spacing w:after="0" w:line="240" w:lineRule="auto"/>
      </w:pPr>
      <w:r>
        <w:separator/>
      </w:r>
    </w:p>
  </w:footnote>
  <w:footnote w:type="continuationSeparator" w:id="0">
    <w:p w14:paraId="784F5E58" w14:textId="77777777" w:rsidR="00824E85" w:rsidRDefault="0082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FA1F" w14:textId="77777777" w:rsidR="00334E6E" w:rsidRPr="00295789" w:rsidRDefault="00334E6E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9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009B9"/>
    <w:rsid w:val="00035480"/>
    <w:rsid w:val="00044C20"/>
    <w:rsid w:val="00047B9A"/>
    <w:rsid w:val="0005244C"/>
    <w:rsid w:val="0009487B"/>
    <w:rsid w:val="0009564D"/>
    <w:rsid w:val="000A472B"/>
    <w:rsid w:val="000C26EC"/>
    <w:rsid w:val="00114E60"/>
    <w:rsid w:val="00117CB5"/>
    <w:rsid w:val="0012296B"/>
    <w:rsid w:val="00122C88"/>
    <w:rsid w:val="00165B21"/>
    <w:rsid w:val="00187965"/>
    <w:rsid w:val="001A6D59"/>
    <w:rsid w:val="001B66A0"/>
    <w:rsid w:val="00211AF0"/>
    <w:rsid w:val="00253626"/>
    <w:rsid w:val="002920E0"/>
    <w:rsid w:val="00295789"/>
    <w:rsid w:val="002A25AB"/>
    <w:rsid w:val="002E1629"/>
    <w:rsid w:val="002F216F"/>
    <w:rsid w:val="00302DAD"/>
    <w:rsid w:val="003161A5"/>
    <w:rsid w:val="00323074"/>
    <w:rsid w:val="0032375D"/>
    <w:rsid w:val="00333382"/>
    <w:rsid w:val="00334B9A"/>
    <w:rsid w:val="00334E6E"/>
    <w:rsid w:val="003353FA"/>
    <w:rsid w:val="0034330D"/>
    <w:rsid w:val="003548F9"/>
    <w:rsid w:val="003908D1"/>
    <w:rsid w:val="003A1253"/>
    <w:rsid w:val="003C12C4"/>
    <w:rsid w:val="003D014A"/>
    <w:rsid w:val="003E1917"/>
    <w:rsid w:val="00407C35"/>
    <w:rsid w:val="004C050A"/>
    <w:rsid w:val="004C1C49"/>
    <w:rsid w:val="004C7FDC"/>
    <w:rsid w:val="005648F0"/>
    <w:rsid w:val="005755F5"/>
    <w:rsid w:val="005A096D"/>
    <w:rsid w:val="005C6804"/>
    <w:rsid w:val="005D7D4E"/>
    <w:rsid w:val="005E2929"/>
    <w:rsid w:val="0061501D"/>
    <w:rsid w:val="00652CE5"/>
    <w:rsid w:val="0067607C"/>
    <w:rsid w:val="006A62FF"/>
    <w:rsid w:val="006B1CD1"/>
    <w:rsid w:val="006C31FC"/>
    <w:rsid w:val="006E5D39"/>
    <w:rsid w:val="007307A1"/>
    <w:rsid w:val="00773594"/>
    <w:rsid w:val="00787644"/>
    <w:rsid w:val="007975C7"/>
    <w:rsid w:val="007A5D28"/>
    <w:rsid w:val="007C05A4"/>
    <w:rsid w:val="007C6180"/>
    <w:rsid w:val="007E25DB"/>
    <w:rsid w:val="0080372F"/>
    <w:rsid w:val="00813E9F"/>
    <w:rsid w:val="00817DBB"/>
    <w:rsid w:val="00824E85"/>
    <w:rsid w:val="00835D76"/>
    <w:rsid w:val="008432EF"/>
    <w:rsid w:val="00844D4A"/>
    <w:rsid w:val="00852D13"/>
    <w:rsid w:val="00853C71"/>
    <w:rsid w:val="00897AA3"/>
    <w:rsid w:val="009537CD"/>
    <w:rsid w:val="009617FF"/>
    <w:rsid w:val="00961C9A"/>
    <w:rsid w:val="009761BA"/>
    <w:rsid w:val="009D000A"/>
    <w:rsid w:val="009D6C69"/>
    <w:rsid w:val="009E3BF0"/>
    <w:rsid w:val="00A022C6"/>
    <w:rsid w:val="00A61560"/>
    <w:rsid w:val="00A61C44"/>
    <w:rsid w:val="00A93A1E"/>
    <w:rsid w:val="00AB3E7B"/>
    <w:rsid w:val="00AF08D9"/>
    <w:rsid w:val="00AF19F0"/>
    <w:rsid w:val="00AF596B"/>
    <w:rsid w:val="00B110CE"/>
    <w:rsid w:val="00B65565"/>
    <w:rsid w:val="00B8487E"/>
    <w:rsid w:val="00BC01B3"/>
    <w:rsid w:val="00BC47FC"/>
    <w:rsid w:val="00BC5437"/>
    <w:rsid w:val="00BD2348"/>
    <w:rsid w:val="00BE17A6"/>
    <w:rsid w:val="00BF52C4"/>
    <w:rsid w:val="00C03CE1"/>
    <w:rsid w:val="00C23291"/>
    <w:rsid w:val="00C4449D"/>
    <w:rsid w:val="00C66BC6"/>
    <w:rsid w:val="00C84076"/>
    <w:rsid w:val="00CA6AF4"/>
    <w:rsid w:val="00CF6480"/>
    <w:rsid w:val="00D147ED"/>
    <w:rsid w:val="00D764F1"/>
    <w:rsid w:val="00D91BB0"/>
    <w:rsid w:val="00DA1BB1"/>
    <w:rsid w:val="00DE057F"/>
    <w:rsid w:val="00E1597E"/>
    <w:rsid w:val="00E27F99"/>
    <w:rsid w:val="00E33091"/>
    <w:rsid w:val="00E360AA"/>
    <w:rsid w:val="00E61EF7"/>
    <w:rsid w:val="00E6405C"/>
    <w:rsid w:val="00E776EC"/>
    <w:rsid w:val="00E80C9A"/>
    <w:rsid w:val="00E82FB9"/>
    <w:rsid w:val="00EE7A1C"/>
    <w:rsid w:val="00F2055E"/>
    <w:rsid w:val="00F97F24"/>
    <w:rsid w:val="00FB7A67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6CF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485B-D45F-47D5-B134-AEEE9C2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микола трийцятник</cp:lastModifiedBy>
  <cp:revision>89</cp:revision>
  <dcterms:created xsi:type="dcterms:W3CDTF">2021-02-15T15:58:00Z</dcterms:created>
  <dcterms:modified xsi:type="dcterms:W3CDTF">2023-10-13T07:24:00Z</dcterms:modified>
</cp:coreProperties>
</file>