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fill="FFFFFF"/>
        <w:suppressAutoHyphens w:val="true"/>
        <w:bidi w:val="0"/>
        <w:spacing w:lineRule="auto" w:line="240" w:before="0" w:after="0"/>
        <w:ind w:left="0" w:right="113"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 xml:space="preserve">Додаток № </w:t>
      </w:r>
      <w:r>
        <w:rPr>
          <w:rFonts w:eastAsia="Times New Roman" w:ascii="Times New Roman" w:hAnsi="Times New Roman"/>
          <w:b/>
          <w:bCs/>
          <w:color w:val="auto"/>
          <w:sz w:val="24"/>
          <w:szCs w:val="24"/>
          <w:lang w:val="en-US" w:eastAsia="ar-SA"/>
        </w:rPr>
        <w:t>1</w:t>
      </w:r>
    </w:p>
    <w:p>
      <w:pPr>
        <w:pStyle w:val="Normal"/>
        <w:widowControl/>
        <w:shd w:val="clear" w:fill="FFFFFF"/>
        <w:suppressAutoHyphens w:val="true"/>
        <w:bidi w:val="0"/>
        <w:spacing w:lineRule="auto" w:line="240" w:before="0" w:after="0"/>
        <w:ind w:left="5386" w:right="113" w:firstLine="454"/>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ind w:left="5660" w:firstLine="700"/>
        <w:jc w:val="right"/>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r>
    </w:p>
    <w:p>
      <w:pPr>
        <w:pStyle w:val="Normal"/>
        <w:widowControl/>
        <w:shd w:val="clear" w:color="auto" w:fill="FFFFFF"/>
        <w:suppressAutoHyphens w:val="true"/>
        <w:bidi w:val="0"/>
        <w:spacing w:lineRule="auto" w:line="240" w:before="0" w:after="0"/>
        <w:ind w:left="-283" w:right="0" w:hanging="0"/>
        <w:jc w:val="center"/>
        <w:rPr>
          <w:sz w:val="24"/>
          <w:szCs w:val="24"/>
        </w:rPr>
      </w:pPr>
      <w:r>
        <w:rPr>
          <w:rFonts w:eastAsia="Times New Roman" w:cs="Times New Roman" w:ascii="Times New Roman" w:hAnsi="Times New Roman"/>
          <w:b/>
          <w:sz w:val="24"/>
          <w:szCs w:val="24"/>
          <w:lang w:val="uk-UA"/>
        </w:rPr>
        <w:t>Інформація щодо кваліфікаційних критеріїв, визначених у статті 16 Закону, інформація щодо підтвердження вимог, згідно пункту 47 Особливостей та інша інформація</w:t>
      </w:r>
    </w:p>
    <w:p>
      <w:pPr>
        <w:pStyle w:val="Normal"/>
        <w:shd w:val="clear" w:color="auto" w:fill="FFFFFF"/>
        <w:spacing w:lineRule="auto" w:line="240" w:before="0" w:after="0"/>
        <w:ind w:left="502" w:hanging="0"/>
        <w:jc w:val="center"/>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r>
    </w:p>
    <w:tbl>
      <w:tblPr>
        <w:tblW w:w="9812" w:type="dxa"/>
        <w:jc w:val="left"/>
        <w:tblInd w:w="-294" w:type="dxa"/>
        <w:tblLayout w:type="fixed"/>
        <w:tblCellMar>
          <w:top w:w="0" w:type="dxa"/>
          <w:left w:w="113" w:type="dxa"/>
          <w:bottom w:w="0" w:type="dxa"/>
          <w:right w:w="108" w:type="dxa"/>
        </w:tblCellMar>
      </w:tblPr>
      <w:tblGrid>
        <w:gridCol w:w="675"/>
        <w:gridCol w:w="2666"/>
        <w:gridCol w:w="6471"/>
      </w:tblGrid>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aps/>
                <w:color w:val="auto"/>
                <w:sz w:val="20"/>
                <w:szCs w:val="20"/>
                <w:lang w:val="uk-UA" w:eastAsia="uk-UA"/>
              </w:rPr>
              <w:t>І.</w:t>
            </w:r>
            <w:r>
              <w:rPr>
                <w:rFonts w:eastAsia="Times New Roman" w:ascii="Times New Roman" w:hAnsi="Times New Roman"/>
                <w:b/>
                <w:bCs/>
                <w:color w:val="auto"/>
                <w:sz w:val="20"/>
                <w:szCs w:val="20"/>
                <w:lang w:val="uk-UA" w:eastAsia="uk-UA"/>
              </w:rPr>
              <w:t xml:space="preserve"> ПЕРЕЛІК ДОКУМЕНТІВ ДЛЯ УЧАСНИКІВ ПРОЦЕДУРИ ЗАКУПІВЛІ</w:t>
            </w:r>
          </w:p>
        </w:tc>
      </w:tr>
      <w:tr>
        <w:trPr/>
        <w:tc>
          <w:tcPr>
            <w:tcW w:w="675"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6"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Вимоги Закону  </w:t>
            </w:r>
          </w:p>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 урахуванням Особливостей</w:t>
            </w:r>
          </w:p>
        </w:tc>
        <w:tc>
          <w:tcPr>
            <w:tcW w:w="6471"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Учасник на підтвердження відсутності підстав, </w:t>
            </w:r>
          </w:p>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визначених у п. 47 Особливостей, повинен:</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6"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пункту 47 Особливостей</w:t>
            </w:r>
          </w:p>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r>
          </w:p>
        </w:tc>
        <w:tc>
          <w:tcPr>
            <w:tcW w:w="6471"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Pr>
                <w:rFonts w:eastAsia="Times New Roman" w:ascii="Times New Roman" w:hAnsi="Times New Roman"/>
                <w:b/>
                <w:bCs w:val="false"/>
                <w:color w:val="auto"/>
                <w:sz w:val="20"/>
                <w:szCs w:val="20"/>
                <w:lang w:val="uk-UA" w:eastAsia="uk-UA"/>
              </w:rPr>
              <w:t xml:space="preserve"> </w:t>
            </w:r>
            <w:r>
              <w:rPr>
                <w:rFonts w:eastAsia="Times New Roman" w:ascii="Times New Roman" w:hAnsi="Times New Roman"/>
                <w:b w:val="false"/>
                <w:bCs w:val="false"/>
                <w:color w:val="auto"/>
                <w:sz w:val="20"/>
                <w:szCs w:val="20"/>
                <w:lang w:val="uk-UA"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tc>
        <w:tc>
          <w:tcPr>
            <w:tcW w:w="2666"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71"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br/>
              <w:t>Якщо замовник вважає таке підтвердження достатнім, учаснику процедури закупівлі не може бути відмовлено в участі в процедурі закупівлі.</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w:t>
            </w:r>
          </w:p>
        </w:tc>
        <w:tc>
          <w:tcPr>
            <w:tcW w:w="2666"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 xml:space="preserve">Кваліфікаційні критерії, згідно </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ст. 16 Закону</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uk-UA"/>
              </w:rPr>
              <w:t>з урахуванням пункту 28 Особливостей</w:t>
            </w:r>
          </w:p>
          <w:p>
            <w:pPr>
              <w:pStyle w:val="Normal"/>
              <w:widowControl w:val="false"/>
              <w:spacing w:lineRule="auto" w:line="240" w:before="0" w:after="0"/>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tc>
        <w:tc>
          <w:tcPr>
            <w:tcW w:w="6471" w:type="dxa"/>
            <w:tcBorders>
              <w:top w:val="single" w:sz="4" w:space="0" w:color="000001"/>
              <w:left w:val="single" w:sz="4" w:space="0" w:color="000001"/>
              <w:bottom w:val="single" w:sz="4" w:space="0" w:color="000001"/>
              <w:right w:val="single" w:sz="4" w:space="0" w:color="000001"/>
            </w:tcBorders>
          </w:tcPr>
          <w:p>
            <w:pPr>
              <w:pStyle w:val="Normal"/>
              <w:keepNext w:val="true"/>
              <w:keepLines/>
              <w:widowControl w:val="false"/>
              <w:tabs>
                <w:tab w:val="clear" w:pos="720"/>
                <w:tab w:val="left" w:pos="1080" w:leader="none"/>
              </w:tabs>
              <w:spacing w:before="0" w:after="0"/>
              <w:rPr>
                <w:rFonts w:ascii="Times New Roman" w:hAnsi="Times New Roman"/>
                <w:color w:val="auto"/>
                <w:sz w:val="20"/>
                <w:szCs w:val="20"/>
                <w:lang w:val="uk-UA"/>
              </w:rPr>
            </w:pPr>
            <w:r>
              <w:rPr>
                <w:rFonts w:ascii="Times New Roman" w:hAnsi="Times New Roman"/>
                <w:b/>
                <w:bCs/>
                <w:color w:val="auto"/>
                <w:sz w:val="20"/>
                <w:szCs w:val="20"/>
                <w:lang w:val="uk-UA"/>
              </w:rPr>
              <w:t>Документи, що вимагається від учасника</w:t>
            </w:r>
            <w:r>
              <w:rPr>
                <w:rFonts w:ascii="Times New Roman" w:hAnsi="Times New Roman"/>
                <w:color w:val="auto"/>
                <w:sz w:val="20"/>
                <w:szCs w:val="20"/>
                <w:lang w:val="uk-UA"/>
              </w:rPr>
              <w:t xml:space="preserve"> </w:t>
            </w:r>
            <w:r>
              <w:rPr>
                <w:rFonts w:ascii="Times New Roman" w:hAnsi="Times New Roman"/>
                <w:b/>
                <w:bCs/>
                <w:color w:val="auto"/>
                <w:sz w:val="20"/>
                <w:szCs w:val="20"/>
                <w:lang w:val="uk-UA"/>
              </w:rPr>
              <w:t>процедури закупівлі та які обов'язково подаються у складі його тендерної пропозиції: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3.1</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sz w:val="20"/>
                <w:szCs w:val="20"/>
                <w:lang w:val="uk-UA" w:eastAsia="ru-RU"/>
              </w:rPr>
            </w:pPr>
            <w:r>
              <w:rPr>
                <w:rFonts w:eastAsia="Times New Roman" w:ascii="Times New Roman" w:hAnsi="Times New Roman"/>
                <w:bCs/>
                <w:sz w:val="20"/>
                <w:szCs w:val="20"/>
                <w:lang w:val="uk-UA" w:eastAsia="ru-RU"/>
              </w:rPr>
              <w:t>Наявність працівників відповідної кваліфікації, які мають необхідні знання та досвід</w:t>
            </w:r>
          </w:p>
        </w:tc>
        <w:tc>
          <w:tcPr>
            <w:tcW w:w="6471"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 xml:space="preserve">1). Довідка про наявність працівників відповідної кваліфікації, які мають необхідні знання та досвід, в якій повинні бути зазначені прізвища, ім’я та по-батькові відповідних працівників, місце проживання та їх посади. </w:t>
            </w:r>
            <w:r>
              <w:rPr>
                <w:rFonts w:cs="Times New Roman" w:ascii="Times New Roman" w:hAnsi="Times New Roman"/>
                <w:color w:val="000000"/>
                <w:sz w:val="20"/>
                <w:szCs w:val="20"/>
                <w:lang w:val="uk-UA"/>
              </w:rPr>
              <w:t>В якості документального підтвердження взаємовідносин учасника з працівниками надати щодо кожного зазначеного в довідці працівника: скан-копію наказу про прийняття на роботу (або наказу про прий</w:t>
            </w:r>
            <w:r>
              <w:rPr>
                <w:rFonts w:cs="Times New Roman" w:ascii="Times New Roman" w:hAnsi="Times New Roman"/>
                <w:color w:val="000000"/>
                <w:sz w:val="20"/>
                <w:szCs w:val="20"/>
                <w:lang w:val="uk-UA"/>
              </w:rPr>
              <w:t>няття</w:t>
            </w:r>
            <w:r>
              <w:rPr>
                <w:rFonts w:cs="Times New Roman" w:ascii="Times New Roman" w:hAnsi="Times New Roman"/>
                <w:color w:val="000000"/>
                <w:sz w:val="20"/>
                <w:szCs w:val="20"/>
                <w:lang w:val="uk-UA"/>
              </w:rPr>
              <w:t xml:space="preserve"> на роботу або наказу про прийом на роботу за сумісництвом або наказу про переведення на іншу посаду або першої, останньої сторінки трудової книжки або трудову угоду).</w:t>
            </w:r>
            <w:bookmarkStart w:id="0" w:name="_GoBack"/>
            <w:bookmarkEnd w:id="0"/>
          </w:p>
          <w:p>
            <w:pPr>
              <w:pStyle w:val="Normal"/>
              <w:widowControl w:val="false"/>
              <w:spacing w:lineRule="auto" w:line="240" w:before="0" w:after="0"/>
              <w:jc w:val="both"/>
              <w:rPr>
                <w:sz w:val="20"/>
                <w:szCs w:val="20"/>
              </w:rPr>
            </w:pPr>
            <w:r>
              <w:rPr>
                <w:rFonts w:eastAsia="Times New Roman" w:cs="Times New Roman" w:ascii="Times New Roman" w:hAnsi="Times New Roman"/>
                <w:b w:val="false"/>
                <w:bCs w:val="false"/>
                <w:iCs/>
                <w:color w:val="auto"/>
                <w:sz w:val="20"/>
                <w:szCs w:val="20"/>
                <w:u w:val="none"/>
                <w:lang w:val="uk-UA" w:eastAsia="uk-UA"/>
              </w:rPr>
              <w:t>2). Кваліфікація працівника(ів), що відповідатиме(-уть) за охорону праці та пожежну безпеку (не менше трьох працівників) підтверджується шляхом подання учасниками в складі тендерних пропозицій сканованих з оригіналу скан-копій посвідчень, що містять інформацію про результати перевірки знань з охорони праці та питань пожежної безпеки, які чинні на дату кінцевого строку подання тендерних пропозицій (учасник повинен надати чинні посвідчення з перевірки знань з охорони праці та питань пожежної безпеки не менше трьох працівників) та скан-копій протоколів (витягів з протоколів) засідань комісій з перевірки знань з питань охорони праці, зокрема Учасник повинен підтвердити проходження працівниками (мінімум три працівника) перевірки знань за ДБН А.3.2-2- 2009 «Охорона праці і промислова безпека у будівництві» та НПАОП 0.00-1.15-07 «Правила охорони праці під час виконання робіт на висоті».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3.2</w:t>
            </w:r>
          </w:p>
        </w:tc>
        <w:tc>
          <w:tcPr>
            <w:tcW w:w="2666"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rPr>
              <w:t>Наявність фінансової спроможності, яка підтверджується фінансовою звітністю</w:t>
            </w:r>
          </w:p>
        </w:tc>
        <w:tc>
          <w:tcPr>
            <w:tcW w:w="6471"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Скан-копія фінансової звітності (баланс, звіт про фінансові результати) учасника за звітний період (за 2022 рік), що підтверджує обсяг річного доходу (виручки) у розмірі не меншому ніж 50 % (п’ятдесят відсотків) від очікуваної вартості предмета закупівлі (згідно цієї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3.3</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71"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На підтвердження досвіду виконання аналогічних за предметом закупівлі договорів Учасник в складі тендерної пропозиції має надати:</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Довідку у довільній формі про досвід виконання аналогічних договорів, а саме  аналогічних договорів на загальну суму не менше ніж очікувана вартість предмету закупівлі (згідно цієї процедури закупівлі), укладених учасником не раніше 2020 року</w:t>
            </w:r>
            <w:r>
              <w:rPr>
                <w:rFonts w:cs="Times New Roman" w:ascii="Times New Roman" w:hAnsi="Times New Roman"/>
                <w:bCs/>
                <w:iCs/>
                <w:sz w:val="20"/>
                <w:szCs w:val="20"/>
                <w:lang w:val="uk-UA"/>
              </w:rPr>
              <w:t xml:space="preserve"> з замовниками в</w:t>
            </w:r>
            <w:r>
              <w:rPr>
                <w:rFonts w:cs="Times New Roman" w:ascii="Times New Roman" w:hAnsi="Times New Roman"/>
                <w:b/>
                <w:bCs/>
                <w:iCs/>
                <w:sz w:val="20"/>
                <w:szCs w:val="20"/>
                <w:lang w:val="uk-UA"/>
              </w:rPr>
              <w:t xml:space="preserve"> </w:t>
            </w:r>
            <w:r>
              <w:rPr>
                <w:rFonts w:cs="Times New Roman" w:ascii="Times New Roman" w:hAnsi="Times New Roman"/>
                <w:bCs/>
                <w:iCs/>
                <w:sz w:val="20"/>
                <w:szCs w:val="20"/>
                <w:lang w:val="uk-UA"/>
              </w:rPr>
              <w:t>розумінні Закону,</w:t>
            </w:r>
            <w:r>
              <w:rPr>
                <w:rFonts w:cs="Times New Roman" w:ascii="Times New Roman" w:hAnsi="Times New Roman"/>
                <w:sz w:val="20"/>
                <w:szCs w:val="20"/>
                <w:lang w:val="uk-UA"/>
              </w:rPr>
              <w:t xml:space="preserve"> виконаних учасником у повному обсязі. Довідка повинна містити наступну інформацію щодо кожного зазначеного учасником аналогічного договору: </w:t>
            </w:r>
            <w:r>
              <w:rPr>
                <w:rFonts w:cs="Times New Roman" w:ascii="Times New Roman" w:hAnsi="Times New Roman"/>
                <w:bCs/>
                <w:sz w:val="20"/>
                <w:szCs w:val="20"/>
                <w:lang w:val="uk-UA"/>
              </w:rPr>
              <w:t xml:space="preserve">назва контрагенту, адреса контрагенту, контактний телефон контрагенту, </w:t>
            </w:r>
            <w:r>
              <w:rPr>
                <w:rFonts w:cs="Times New Roman" w:ascii="Times New Roman" w:hAnsi="Times New Roman"/>
                <w:sz w:val="20"/>
                <w:szCs w:val="20"/>
                <w:lang w:val="uk-UA"/>
              </w:rPr>
              <w:t xml:space="preserve"> </w:t>
            </w:r>
            <w:r>
              <w:rPr>
                <w:rFonts w:cs="Times New Roman" w:ascii="Times New Roman" w:hAnsi="Times New Roman"/>
                <w:bCs/>
                <w:sz w:val="20"/>
                <w:szCs w:val="20"/>
                <w:lang w:val="uk-UA"/>
              </w:rPr>
              <w:t xml:space="preserve">предмет договору, номер договору (за наявності), дата укладання договору, ідентифікатор відповідної публічної закупівлі в електронній системі закупівель - https://prozorro.gov.ua/ згідно якої укладено договір, стан виконання договору.  </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У випадку якщо щодо аналогічного(их) договору(ів) зазначеного(их) учасником в довідці згідно цього пп. на сторінці відповідної публічної закупівлі в електронній системі закупівель https://prozorro.gov.ua/ станом на дату подання тендерної пропозиції не було опубліковано звіт про виконання договору про закупівлю, то учасник також повинен надати в повному обсязі скан-копії документів до вищезазначеного(их) договору(ів), які згідно будівельних норм підтверджують прийняття замовником виконаних учасником робіт (вимога щодо надання скан-копії документів, які згідно будівельних норм підтверджують прийняття замовником виконаних учасником робіт не застосовується до договорів, щодо яких в електронній системі закупівель https://prozorro.gov.ua/ опубліковано звіт про виконання договору про закупівлю згідно п. 12 ст.10 Закону).</w:t>
            </w:r>
          </w:p>
          <w:p>
            <w:pPr>
              <w:pStyle w:val="21"/>
              <w:widowControl w:val="false"/>
              <w:spacing w:lineRule="auto" w:line="240" w:before="0" w:after="0"/>
              <w:ind w:left="0" w:hanging="0"/>
              <w:jc w:val="both"/>
              <w:rPr>
                <w:sz w:val="20"/>
                <w:szCs w:val="20"/>
              </w:rPr>
            </w:pPr>
            <w:r>
              <w:rPr>
                <w:rFonts w:eastAsia="Times New Roman" w:ascii="Times New Roman" w:hAnsi="Times New Roman"/>
                <w:b w:val="false"/>
                <w:bCs w:val="false"/>
                <w:iCs/>
                <w:color w:val="auto"/>
                <w:sz w:val="20"/>
                <w:szCs w:val="20"/>
                <w:u w:val="none"/>
                <w:lang w:eastAsia="uk-UA"/>
              </w:rPr>
              <w:t>Аналогічним договором відповідно до умов цієї тендерної документації є виконаний договір предметом якого є проведення робіт з капітального ремонту та/або реконструкції.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sz w:val="20"/>
                <w:szCs w:val="20"/>
                <w:lang w:val="uk-UA" w:eastAsia="ru-RU"/>
              </w:rPr>
            </w:pPr>
            <w:r>
              <w:rPr>
                <w:rFonts w:eastAsia="Times New Roman" w:ascii="Times New Roman" w:hAnsi="Times New Roman"/>
                <w:bCs/>
                <w:sz w:val="20"/>
                <w:szCs w:val="20"/>
                <w:lang w:val="uk-UA" w:eastAsia="ru-RU"/>
              </w:rPr>
              <w:t>3.3</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sz w:val="20"/>
                <w:szCs w:val="20"/>
                <w:lang w:val="uk-UA" w:eastAsia="ru-RU"/>
              </w:rPr>
            </w:pPr>
            <w:r>
              <w:rPr>
                <w:rFonts w:eastAsia="Times New Roman" w:ascii="Times New Roman" w:hAnsi="Times New Roman"/>
                <w:bCs/>
                <w:sz w:val="20"/>
                <w:szCs w:val="20"/>
                <w:lang w:val="uk-UA" w:eastAsia="ru-RU"/>
              </w:rPr>
              <w:t>Наявність працівників відповідної кваліфікації, які мають необхідні знання та досвід</w:t>
            </w:r>
          </w:p>
        </w:tc>
        <w:tc>
          <w:tcPr>
            <w:tcW w:w="6471" w:type="dxa"/>
            <w:tcBorders>
              <w:left w:val="single" w:sz="4" w:space="0" w:color="000001"/>
              <w:bottom w:val="single" w:sz="4" w:space="0" w:color="000001"/>
              <w:right w:val="single" w:sz="4" w:space="0" w:color="000001"/>
            </w:tcBorders>
          </w:tcPr>
          <w:p>
            <w:pPr>
              <w:pStyle w:val="Normal"/>
              <w:widowControl w:val="false"/>
              <w:spacing w:before="0" w:after="0"/>
              <w:jc w:val="both"/>
              <w:rPr>
                <w:rFonts w:ascii="Times New Roman" w:hAnsi="Times New Roman"/>
                <w:sz w:val="20"/>
                <w:szCs w:val="20"/>
                <w:lang w:val="uk-UA"/>
              </w:rPr>
            </w:pPr>
            <w:r>
              <w:rPr>
                <w:rFonts w:eastAsia="Times New Roman" w:ascii="Times New Roman" w:hAnsi="Times New Roman"/>
                <w:bCs/>
                <w:iCs/>
                <w:sz w:val="20"/>
                <w:szCs w:val="20"/>
                <w:lang w:val="uk-UA" w:eastAsia="ru-RU"/>
              </w:rPr>
              <w:t>Д</w:t>
            </w:r>
            <w:r>
              <w:rPr>
                <w:rFonts w:eastAsia="Times New Roman" w:ascii="Times New Roman" w:hAnsi="Times New Roman"/>
                <w:iCs/>
                <w:sz w:val="20"/>
                <w:szCs w:val="20"/>
                <w:lang w:val="uk-UA" w:eastAsia="uk-UA"/>
              </w:rPr>
              <w:t>овідка (в довільній формі) про наявність працівників відповідної кваліфікації, які мають необхідні знання та досвід</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3.4</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3.5.</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olor w:val="auto"/>
                <w:sz w:val="20"/>
                <w:szCs w:val="20"/>
                <w:lang w:val="uk-UA" w:eastAsia="uk-UA"/>
              </w:rPr>
              <w:t>ІІ. ПЕРЕЛІК ДОКУМЕНТІВ ДЛЯ ПЕРЕМОЖЦЯ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Вимоги згідно пункту 47 Особливостей</w:t>
            </w:r>
          </w:p>
          <w:p>
            <w:pPr>
              <w:pStyle w:val="Normal"/>
              <w:widowControl w:val="false"/>
              <w:spacing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471" w:type="dxa"/>
            <w:tcBorders>
              <w:left w:val="single" w:sz="4" w:space="0" w:color="000001"/>
              <w:bottom w:val="single" w:sz="4" w:space="0" w:color="000001"/>
              <w:right w:val="single" w:sz="4" w:space="0" w:color="000001"/>
            </w:tcBorders>
          </w:tcPr>
          <w:p>
            <w:pPr>
              <w:pStyle w:val="Normal"/>
              <w:widowControl w:val="false"/>
              <w:spacing w:before="0" w:after="0"/>
              <w:jc w:val="both"/>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Переможець процедури закупівлі </w:t>
            </w:r>
            <w:r>
              <w:rPr>
                <w:rFonts w:eastAsia="Times New Roman" w:ascii="Times New Roman" w:hAnsi="Times New Roman"/>
                <w:b/>
                <w:color w:val="auto"/>
                <w:sz w:val="20"/>
                <w:szCs w:val="20"/>
                <w:u w:val="none"/>
                <w:lang w:val="uk-UA" w:eastAsia="uk-UA"/>
              </w:rPr>
              <w:t>у строк, що не перевищує чотири дні</w:t>
            </w:r>
            <w:r>
              <w:rPr>
                <w:rFonts w:eastAsia="Times New Roman" w:ascii="Times New Roman" w:hAnsi="Times New Roman"/>
                <w:b/>
                <w:color w:val="auto"/>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6"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r>
          </w:p>
          <w:p>
            <w:pPr>
              <w:pStyle w:val="Normal"/>
              <w:widowControl w:val="false"/>
              <w:spacing w:before="0" w:after="0"/>
              <w:rPr>
                <w:color w:val="auto"/>
                <w:sz w:val="20"/>
                <w:szCs w:val="20"/>
                <w:lang w:val="uk-UA"/>
              </w:rPr>
            </w:pPr>
            <w:r>
              <w:rPr>
                <w:rFonts w:eastAsia="Times New Roman" w:ascii="Times New Roman" w:hAnsi="Times New Roman"/>
                <w:color w:val="auto"/>
                <w:sz w:val="20"/>
                <w:szCs w:val="20"/>
                <w:lang w:val="uk-UA" w:eastAsia="uk-UA"/>
              </w:rPr>
              <w:t>(</w:t>
            </w:r>
            <w:r>
              <w:rPr>
                <w:rFonts w:eastAsia="Times New Roman" w:ascii="Times New Roman" w:hAnsi="Times New Roman"/>
                <w:b/>
                <w:color w:val="auto"/>
                <w:sz w:val="20"/>
                <w:szCs w:val="20"/>
                <w:lang w:val="uk-UA" w:eastAsia="uk-UA"/>
              </w:rPr>
              <w:t>підпункт 3 пункту 47 Особливостей</w:t>
            </w:r>
            <w:r>
              <w:rPr>
                <w:rFonts w:eastAsia="Times New Roman" w:ascii="Times New Roman" w:hAnsi="Times New Roman"/>
                <w:color w:val="auto"/>
                <w:sz w:val="20"/>
                <w:szCs w:val="20"/>
                <w:lang w:val="uk-UA" w:eastAsia="uk-UA"/>
              </w:rPr>
              <w:t>)</w:t>
            </w:r>
          </w:p>
        </w:tc>
        <w:tc>
          <w:tcPr>
            <w:tcW w:w="6471"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76" w:before="0" w:after="0"/>
              <w:ind w:left="0" w:right="0" w:firstLine="567"/>
              <w:jc w:val="both"/>
              <w:rPr>
                <w:color w:val="auto"/>
                <w:sz w:val="20"/>
                <w:szCs w:val="20"/>
                <w:lang w:val="uk-UA"/>
              </w:rPr>
            </w:pPr>
            <w:r>
              <w:rPr>
                <w:rFonts w:eastAsia="Times New Roman" w:ascii="Times New Roman" w:hAnsi="Times New Roman"/>
                <w:iCs/>
                <w:color w:val="auto"/>
                <w:sz w:val="20"/>
                <w:szCs w:val="20"/>
                <w:lang w:val="uk-UA" w:eastAsia="uk-UA"/>
              </w:rPr>
              <w:t>Документ (витяг або інформаційна довідка) з Єдиного державного реєстру осіб, які вчинили корупційні або пов’язані з корупцією правопорушення. Наданий документ повинен бути виданий не раніше 30 (тридцяти) календарних днів відносно дати кінцевого строку подання тендерних пропозицій.</w:t>
            </w:r>
          </w:p>
          <w:p>
            <w:pPr>
              <w:pStyle w:val="Normal"/>
              <w:widowControl w:val="false"/>
              <w:spacing w:lineRule="auto" w:line="276" w:before="0" w:after="0"/>
              <w:ind w:left="0" w:right="0" w:firstLine="567"/>
              <w:jc w:val="both"/>
              <w:rPr>
                <w:color w:val="auto"/>
                <w:sz w:val="24"/>
                <w:szCs w:val="24"/>
                <w:lang w:val="uk-UA"/>
              </w:rPr>
            </w:pPr>
            <w:r>
              <w:rPr>
                <w:rFonts w:eastAsia="Times New Roman" w:ascii="Times New Roman" w:hAnsi="Times New Roman"/>
                <w:iCs/>
                <w:color w:val="auto"/>
                <w:sz w:val="20"/>
                <w:szCs w:val="20"/>
                <w:lang w:val="uk-UA" w:eastAsia="uk-UA"/>
              </w:rPr>
              <w:t>(</w:t>
            </w:r>
            <w:r>
              <w:rPr>
                <w:rFonts w:eastAsia="Times New Roman" w:ascii="Times New Roman" w:hAnsi="Times New Roman"/>
                <w:b/>
                <w:bCs/>
                <w:iCs/>
                <w:color w:val="auto"/>
                <w:sz w:val="20"/>
                <w:szCs w:val="20"/>
                <w:lang w:val="uk-UA" w:eastAsia="uk-UA"/>
              </w:rPr>
              <w:t>Довідково</w:t>
            </w:r>
            <w:r>
              <w:rPr>
                <w:rFonts w:eastAsia="Times New Roman" w:ascii="Times New Roman" w:hAnsi="Times New Roman"/>
                <w:iCs/>
                <w:color w:val="auto"/>
                <w:sz w:val="20"/>
                <w:szCs w:val="20"/>
                <w:lang w:val="uk-UA" w:eastAsia="uk-UA"/>
              </w:rPr>
              <w:t xml:space="preserve">: згідно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eastAsia="Times New Roman" w:ascii="Times New Roman" w:hAnsi="Times New Roman"/>
                <w:iCs/>
                <w:color w:val="auto"/>
                <w:sz w:val="20"/>
                <w:szCs w:val="20"/>
                <w:u w:val="single"/>
                <w:lang w:val="uk-UA" w:eastAsia="uk-UA"/>
              </w:rPr>
              <w:t>крім випадків, коли доступ до такої інформації є обмеженим на момент оприлюднення оголошення про проведення відкритих торгів</w:t>
            </w:r>
            <w:r>
              <w:rPr>
                <w:rFonts w:eastAsia="Times New Roman" w:ascii="Times New Roman" w:hAnsi="Times New Roman"/>
                <w:iCs/>
                <w:color w:val="auto"/>
                <w:sz w:val="20"/>
                <w:szCs w:val="20"/>
                <w:lang w:val="uk-UA" w:eastAsia="uk-UA"/>
              </w:rPr>
              <w:t>.</w:t>
            </w:r>
            <w:r>
              <w:rPr>
                <w:rStyle w:val="Style8"/>
                <w:rFonts w:eastAsia="Times New Roman" w:ascii="Times New Roman" w:hAnsi="Times New Roman"/>
                <w:b w:val="false"/>
                <w:bCs w:val="false"/>
                <w:i/>
                <w:iCs/>
                <w:color w:val="auto"/>
                <w:sz w:val="20"/>
                <w:szCs w:val="20"/>
                <w:u w:val="none"/>
                <w:lang w:val="uk-UA" w:eastAsia="uk-UA"/>
              </w:rPr>
              <w:t xml:space="preserve"> </w:t>
            </w:r>
            <w:r>
              <w:rPr>
                <w:rStyle w:val="Style8"/>
                <w:rFonts w:eastAsia="Times New Roman" w:ascii="Times New Roman" w:hAnsi="Times New Roman"/>
                <w:b w:val="false"/>
                <w:bCs w:val="false"/>
                <w:i w:val="false"/>
                <w:iCs w:val="false"/>
                <w:color w:val="auto"/>
                <w:sz w:val="20"/>
                <w:szCs w:val="20"/>
                <w:u w:val="none"/>
                <w:lang w:val="uk-UA" w:eastAsia="uk-UA"/>
              </w:rPr>
              <w:t xml:space="preserve">Разом з тим, Єдиний державний реєстр осіб, які вчинили корупційні або пов’язані з корупцією правопорушення (Реєстр корупціонерів) – це портал, де міститься інформація про всіх фізичних та юридичних осіб, які вчинили корупційні правопорушення. НАЗК адмініструє цей реєстр з лютого 2019 року, але з початку введення воєнного стану у 2022 році (враховуючи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та інших відповідних нормативно-правових актів, чинного законодавства) доступ до Реєстру обмежений та замовник не може здійснити вільно таку перевірку інформації, та є можливість, лише в переможця процедури закупівлі отримати індивідуальну довідку, яка формується на основі пошуку записів в реєстрі за відповідним кодом, що зчитується з його КЕП. В результаті пошуку буде завантажено архів з особистою довідкою та цифровим підписом НАЗК </w:t>
            </w:r>
            <w:hyperlink r:id="rId2">
              <w:r>
                <w:rPr>
                  <w:rStyle w:val="Style8"/>
                  <w:rFonts w:ascii="Times New Roman" w:hAnsi="Times New Roman"/>
                  <w:sz w:val="20"/>
                  <w:szCs w:val="20"/>
                  <w:lang w:val="uk-UA"/>
                </w:rPr>
                <w:t>https://corruptinfo.nazk.gov.ua/reference/getpersonalreference/legal</w:t>
              </w:r>
            </w:hyperlink>
            <w:r>
              <w:rPr>
                <w:rStyle w:val="Style8"/>
                <w:rFonts w:eastAsia="Times New Roman" w:ascii="Times New Roman" w:hAnsi="Times New Roman"/>
                <w:b w:val="false"/>
                <w:bCs w:val="false"/>
                <w:i/>
                <w:iCs/>
                <w:color w:val="auto"/>
                <w:sz w:val="20"/>
                <w:szCs w:val="20"/>
                <w:u w:val="none"/>
                <w:lang w:val="uk-UA" w:eastAsia="uk-UA"/>
              </w:rPr>
              <w:t xml:space="preserve"> </w:t>
            </w:r>
          </w:p>
          <w:p>
            <w:pPr>
              <w:pStyle w:val="Normal"/>
              <w:widowControl w:val="false"/>
              <w:spacing w:lineRule="auto" w:line="276" w:before="0" w:after="0"/>
              <w:ind w:left="0" w:right="0" w:hanging="0"/>
              <w:jc w:val="both"/>
              <w:rPr>
                <w:color w:val="auto"/>
                <w:sz w:val="24"/>
                <w:szCs w:val="24"/>
                <w:lang w:val="uk-UA"/>
              </w:rPr>
            </w:pPr>
            <w:r>
              <w:rPr>
                <w:rStyle w:val="Style8"/>
                <w:rFonts w:eastAsia="Times New Roman" w:ascii="Times New Roman" w:hAnsi="Times New Roman"/>
                <w:b w:val="false"/>
                <w:bCs w:val="false"/>
                <w:i w:val="false"/>
                <w:iCs w:val="false"/>
                <w:color w:val="auto"/>
                <w:sz w:val="20"/>
                <w:szCs w:val="20"/>
                <w:u w:val="none"/>
                <w:lang w:val="uk-UA" w:eastAsia="uk-UA"/>
              </w:rPr>
              <w:t>та / або у разі якщо переможцем процедури закупівлі неможливо буде отримати довідку або документ із зазначеного реєстру з технічних причин (чи у зв'язку з надзвичайною ситуацію чи воєнним станом), то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 інформаційної довідки з Єдиного державного реєстру осіб, які вчинили корупційні або пов’язані з корупцією правопорушення)</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tc>
        <w:tc>
          <w:tcPr>
            <w:tcW w:w="2666"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фізична особа, яка є учасником процедури закупівлі</w:t>
            </w:r>
            <w:r>
              <w:rPr>
                <w:rFonts w:eastAsia="Times New Roman" w:ascii="Times New Roman" w:hAnsi="Times New Roman"/>
                <w:b w:val="false"/>
                <w:bCs/>
                <w:color w:val="000000"/>
                <w:sz w:val="20"/>
                <w:szCs w:val="20"/>
                <w:u w:val="none"/>
                <w:shd w:fill="FFFFFF" w:val="clear"/>
                <w:lang w:val="uk-UA" w:eastAsia="uk-U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rPr>
                <w:rFonts w:ascii="Times New Roman" w:hAnsi="Times New Roman" w:eastAsia="Times New Roman"/>
                <w:bCs/>
                <w:color w:val="auto"/>
                <w:sz w:val="20"/>
                <w:szCs w:val="20"/>
                <w:shd w:fill="FFFFFF" w:val="clear"/>
                <w:lang w:val="uk-UA" w:eastAsia="uk-UA"/>
              </w:rPr>
            </w:pPr>
            <w:r>
              <w:rPr>
                <w:rFonts w:eastAsia="Times New Roman" w:ascii="Times New Roman" w:hAnsi="Times New Roman"/>
                <w:bCs/>
                <w:color w:val="000000"/>
                <w:sz w:val="20"/>
                <w:szCs w:val="20"/>
                <w:shd w:fill="FFFFFF" w:val="clear"/>
                <w:lang w:val="uk-UA" w:eastAsia="uk-UA"/>
              </w:rPr>
            </w:r>
          </w:p>
          <w:p>
            <w:pPr>
              <w:pStyle w:val="Normal"/>
              <w:widowControl w:val="false"/>
              <w:spacing w:before="0" w:after="0"/>
              <w:rPr>
                <w:sz w:val="20"/>
                <w:szCs w:val="20"/>
                <w:lang w:val="uk-UA"/>
              </w:rPr>
            </w:pPr>
            <w:r>
              <w:rPr>
                <w:rFonts w:eastAsia="Times New Roman" w:ascii="Times New Roman" w:hAnsi="Times New Roman"/>
                <w:b/>
                <w:bCs/>
                <w:color w:val="000000"/>
                <w:sz w:val="20"/>
                <w:szCs w:val="20"/>
                <w:shd w:fill="FFFFFF" w:val="clear"/>
                <w:lang w:val="uk-UA" w:eastAsia="uk-UA"/>
              </w:rPr>
              <w:t>(підпункт 5 пункту 47 Особливостей)</w:t>
            </w:r>
          </w:p>
        </w:tc>
        <w:tc>
          <w:tcPr>
            <w:tcW w:w="6471"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5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3">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4">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rHeight w:val="4666" w:hRule="atLeast"/>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3</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керівник учасника процедури закупівлі</w:t>
            </w:r>
            <w:r>
              <w:rPr>
                <w:rFonts w:eastAsia="Times New Roman" w:ascii="Times New Roman" w:hAnsi="Times New Roman"/>
                <w:b w:val="false"/>
                <w:bCs/>
                <w:color w:val="000000"/>
                <w:sz w:val="20"/>
                <w:szCs w:val="20"/>
                <w:u w:val="none"/>
                <w:shd w:fill="FFFFFF" w:val="clear"/>
                <w:lang w:val="uk-UA" w:eastAsia="uk-UA"/>
              </w:rPr>
              <w:t xml:space="preserve">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rPr>
                <w:color w:val="auto"/>
                <w:sz w:val="20"/>
                <w:szCs w:val="20"/>
                <w:lang w:val="uk-UA"/>
              </w:rPr>
            </w:pPr>
            <w:r>
              <w:rPr>
                <w:rFonts w:eastAsia="Times New Roman" w:ascii="Times New Roman" w:hAnsi="Times New Roman"/>
                <w:b/>
                <w:color w:val="auto"/>
                <w:sz w:val="20"/>
                <w:szCs w:val="20"/>
                <w:lang w:val="uk-UA" w:eastAsia="uk-UA"/>
              </w:rPr>
              <w:t>(підпункт 6 пункту 47 Особливостей)</w:t>
            </w:r>
          </w:p>
        </w:tc>
        <w:tc>
          <w:tcPr>
            <w:tcW w:w="6471" w:type="dxa"/>
            <w:tcBorders>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6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5">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6">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4</w:t>
            </w:r>
          </w:p>
        </w:tc>
        <w:tc>
          <w:tcPr>
            <w:tcW w:w="2666" w:type="dxa"/>
            <w:tcBorders>
              <w:left w:val="single" w:sz="4" w:space="0" w:color="000001"/>
              <w:bottom w:val="single" w:sz="4" w:space="0" w:color="000001"/>
              <w:right w:val="single" w:sz="4" w:space="0" w:color="000001"/>
            </w:tcBorders>
          </w:tcPr>
          <w:p>
            <w:pPr>
              <w:pStyle w:val="Normal"/>
              <w:widowControl w:val="false"/>
              <w:spacing w:before="0" w:after="0"/>
              <w:rPr>
                <w:sz w:val="20"/>
                <w:szCs w:val="20"/>
                <w:lang w:val="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rPr>
                <w:color w:val="auto"/>
                <w:sz w:val="20"/>
                <w:szCs w:val="20"/>
                <w:lang w:val="uk-UA"/>
              </w:rPr>
            </w:pPr>
            <w:r>
              <w:rPr>
                <w:b/>
                <w:color w:val="auto"/>
                <w:sz w:val="20"/>
                <w:szCs w:val="20"/>
                <w:lang w:val="uk-UA"/>
              </w:rPr>
              <w:t>(підпункт 12 пункту 47 Особливостей)</w:t>
            </w:r>
          </w:p>
        </w:tc>
        <w:tc>
          <w:tcPr>
            <w:tcW w:w="6471" w:type="dxa"/>
            <w:tcBorders>
              <w:left w:val="single" w:sz="4" w:space="0" w:color="000001"/>
              <w:bottom w:val="single" w:sz="4" w:space="0" w:color="000001"/>
              <w:right w:val="single" w:sz="4" w:space="0" w:color="000001"/>
            </w:tcBorders>
          </w:tcPr>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4.1. Документ, що підтверджує відсутність підстав, визначених підпунктом 12 пункту 47 Особливостей (довідка або ВИТЯГ (ПОВНИЙ)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7">
              <w:r>
                <w:rPr>
                  <w:rStyle w:val="Style8"/>
                  <w:rFonts w:eastAsia="Times New Roman" w:ascii="Times New Roman" w:hAnsi="Times New Roman"/>
                  <w:b w:val="false"/>
                  <w:bCs w:val="false"/>
                  <w:i w:val="false"/>
                  <w:iCs/>
                  <w:color w:val="000080"/>
                  <w:sz w:val="20"/>
                  <w:szCs w:val="20"/>
                  <w:u w:val="single"/>
                  <w:lang w:val="uk-UA" w:eastAsia="zxx"/>
                </w:rPr>
                <w:t>https://vytiah.mvs.gov.ua/app/landing</w:t>
              </w:r>
            </w:hyperlink>
            <w:r>
              <w:rPr>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(Довідково: </w:t>
            </w:r>
            <w:hyperlink r:id="rId8">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Fonts w:eastAsia="Times New Roman" w:ascii="Times New Roman" w:hAnsi="Times New Roman"/>
                <w:b w:val="false"/>
                <w:bCs w:val="false"/>
                <w:i w:val="false"/>
                <w:iCs/>
                <w:color w:val="auto"/>
                <w:sz w:val="20"/>
                <w:szCs w:val="20"/>
                <w:u w:val="none"/>
                <w:lang w:val="uk-UA" w:eastAsia="uk-UA"/>
              </w:rPr>
              <w:t>).</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4.2. Довідка, складена учасником у довільній формі, що підтверджує відсутність підстави, передбаченої підпунктом 12 пункту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5</w:t>
            </w:r>
          </w:p>
        </w:tc>
        <w:tc>
          <w:tcPr>
            <w:tcW w:w="2666"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471"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tbl>
      <w:tblPr>
        <w:tblStyle w:val="af3"/>
        <w:tblW w:w="9817" w:type="dxa"/>
        <w:jc w:val="left"/>
        <w:tblInd w:w="-299" w:type="dxa"/>
        <w:tblLayout w:type="fixed"/>
        <w:tblCellMar>
          <w:top w:w="100" w:type="dxa"/>
          <w:left w:w="100" w:type="dxa"/>
          <w:bottom w:w="100" w:type="dxa"/>
          <w:right w:w="100" w:type="dxa"/>
        </w:tblCellMar>
        <w:tblLook w:firstRow="0" w:noVBand="1" w:lastRow="0" w:firstColumn="0" w:lastColumn="0" w:noHBand="0" w:val="0400"/>
      </w:tblPr>
      <w:tblGrid>
        <w:gridCol w:w="592"/>
        <w:gridCol w:w="9224"/>
      </w:tblGrid>
      <w:tr>
        <w:trPr>
          <w:trHeight w:val="124" w:hRule="atLeast"/>
        </w:trPr>
        <w:tc>
          <w:tcPr>
            <w:tcW w:w="981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center"/>
              <w:rPr>
                <w:rFonts w:ascii="Times New Roman" w:hAnsi="Times New Roman"/>
                <w:sz w:val="20"/>
                <w:szCs w:val="20"/>
              </w:rPr>
            </w:pPr>
            <w:r>
              <w:rPr>
                <w:rFonts w:ascii="Times New Roman" w:hAnsi="Times New Roman"/>
                <w:b/>
                <w:sz w:val="20"/>
                <w:szCs w:val="20"/>
                <w:lang w:val="en-US"/>
              </w:rPr>
              <w:t>III</w:t>
            </w:r>
            <w:r>
              <w:rPr>
                <w:rFonts w:ascii="Times New Roman" w:hAnsi="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c>
      </w:tr>
      <w:tr>
        <w:trPr>
          <w:trHeight w:val="124" w:hRule="atLeast"/>
        </w:trPr>
        <w:tc>
          <w:tcPr>
            <w:tcW w:w="9816" w:type="dxa"/>
            <w:gridSpan w:val="2"/>
            <w:tcBorders>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w:t>
            </w:r>
            <w:r>
              <w:rPr>
                <w:rFonts w:eastAsia="Times New Roman" w:cs="Times New Roman" w:ascii="Times New Roman" w:hAnsi="Times New Roman"/>
                <w:b/>
                <w:sz w:val="20"/>
                <w:szCs w:val="20"/>
              </w:rPr>
              <w:t>/</w:t>
            </w:r>
            <w:r>
              <w:rPr>
                <w:rFonts w:eastAsia="Times New Roman" w:cs="Times New Roman" w:ascii="Times New Roman" w:hAnsi="Times New Roman"/>
                <w:b/>
                <w:sz w:val="20"/>
                <w:szCs w:val="20"/>
                <w:lang w:val="uk-UA"/>
              </w:rPr>
              <w:t>інформація, що подаються учасниками під час подачі тендерної пропозиції:</w:t>
            </w:r>
          </w:p>
        </w:tc>
      </w:tr>
      <w:tr>
        <w:trPr>
          <w:trHeight w:val="5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w:t>
            </w:r>
            <w:r>
              <w:rPr>
                <w:rFonts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у</w:t>
            </w:r>
            <w:r>
              <w:rPr>
                <w:rFonts w:eastAsia="Times New Roman" w:cs="Times New Roman" w:ascii="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tc>
      </w:tr>
      <w:tr>
        <w:trPr>
          <w:trHeight w:val="45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ascii="Times New Roman" w:hAnsi="Times New Roman"/>
                <w:sz w:val="20"/>
                <w:szCs w:val="20"/>
                <w:lang w:val="uk-UA"/>
              </w:rPr>
              <w:t>Учасники повинні надати у складі тендерної пропозиції оригінал або копію документа, який підтверджує статус та повноваження особи на підписання тендерної пропозиції (протокол зборів засновників,  або наказ про призначення директора, президента, голови правління тощо, або наказ про призначення керівника, або інший документ, що підтверджує повноваження службової (посадової) особи учасника на підписання та завірення документів, а також надається скан-копія завірених сторінок паспорту особи, яка підписує документи тендерної пропозиції (подаються в повному обсязі) або завірена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витяг з установчих документів учасника, що містить інформацію щодо повноважень (функцій, тощо) такої особи. У разі підписання документів пропозиції іншою особою – учасник надає оригінал доручення (довіреність) на уповноважену особу учасника щодо підпису тендерної пропозиції та документи (оригінали або завірені Учасником копії), що підтверджують повноваження особи учасника що надав вище зазначене доручення або довіреність. У разі, якщо учасником є фізична особа або фізична особа-підприємець, то повноваження підтверджуються скан-копією завірених сторінок паспорту особи, яка підписує документи тендерної пропозиції (подаються в повному обсязі)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trPr>
          <w:trHeight w:val="5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t>3.</w:t>
            </w:r>
          </w:p>
        </w:tc>
        <w:tc>
          <w:tcPr>
            <w:tcW w:w="9224" w:type="dxa"/>
            <w:tcBorders>
              <w:top w:val="single" w:sz="8" w:space="0" w:color="000000"/>
              <w:left w:val="single" w:sz="8" w:space="0" w:color="000000"/>
              <w:bottom w:val="single" w:sz="8" w:space="0" w:color="000000"/>
              <w:right w:val="single" w:sz="8" w:space="0" w:color="000000"/>
            </w:tcBorders>
          </w:tcPr>
          <w:p>
            <w:pPr>
              <w:pStyle w:val="NormalWeb"/>
              <w:widowControl w:val="false"/>
              <w:tabs>
                <w:tab w:val="clear" w:pos="720"/>
                <w:tab w:val="left" w:pos="527" w:leader="none"/>
              </w:tabs>
              <w:spacing w:beforeAutospacing="0" w:before="0" w:afterAutospacing="0" w:after="0"/>
              <w:jc w:val="both"/>
              <w:rPr>
                <w:sz w:val="20"/>
                <w:szCs w:val="20"/>
                <w:lang w:val="uk-UA"/>
              </w:rPr>
            </w:pPr>
            <w:r>
              <w:rPr>
                <w:iCs/>
                <w:color w:val="000000"/>
                <w:sz w:val="20"/>
                <w:szCs w:val="20"/>
                <w:lang w:val="uk-UA"/>
              </w:rPr>
              <w:t>Учасники повинні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Pr>
                <w:color w:val="000000"/>
                <w:sz w:val="20"/>
                <w:szCs w:val="20"/>
                <w:lang w:val="uk-UA"/>
              </w:rPr>
              <w:t xml:space="preserve"> 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  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Pr>
                <w:i/>
                <w:color w:val="000000"/>
                <w:sz w:val="20"/>
                <w:szCs w:val="20"/>
                <w:lang w:val="uk-UA"/>
              </w:rPr>
              <w:t>(для ТОВ і ТДВ відповідно до ст. 44 ЗУ «Про товариства з обмеженою та додатковою відповідальністю»)</w:t>
            </w:r>
            <w:r>
              <w:rPr>
                <w:color w:val="000000"/>
                <w:sz w:val="20"/>
                <w:szCs w:val="20"/>
                <w:lang w:val="uk-UA"/>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дозвіл/рішення/річна звітність/квартальна звітність/аудиторський звіт або інше).</w:t>
            </w:r>
          </w:p>
        </w:tc>
      </w:tr>
      <w:tr>
        <w:trPr>
          <w:trHeight w:val="1937"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4.</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cs="Times New Roman" w:ascii="Times New Roman" w:hAnsi="Times New Roman"/>
                <w:bCs/>
                <w:sz w:val="20"/>
                <w:szCs w:val="20"/>
                <w:lang w:val="uk-UA"/>
              </w:rPr>
              <w:t>Учасники повинні надати у складі тендерної пропозиції завірену підписом учасника копію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відповідну копію опису документів, що надаються державному реєстратору для проведення реєстраційної дії та лист учасника із зазначення відповідного коду доступу до результату надання адміністративних послуг.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trPr>
          <w:trHeight w:val="45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5.</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eastAsia="Calibri" w:cs="Times New Roman" w:ascii="Times New Roman" w:hAnsi="Times New Roman" w:eastAsiaTheme="minorHAnsi"/>
                <w:sz w:val="20"/>
                <w:szCs w:val="20"/>
                <w:lang w:val="uk-UA" w:eastAsia="en-US"/>
              </w:rPr>
              <w:t>Декларація відповідності матеріально- технічної бази вимогам законодавства з питань охорони праці.</w:t>
            </w:r>
          </w:p>
        </w:tc>
      </w:tr>
      <w:tr>
        <w:trPr>
          <w:trHeight w:val="5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6.</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 яка містить інформацію про кінцевого бенефіціарного власника учасника (для юридичних осіб), зокрема: прізвище, ім’я по батькові кінцевого бенефіціарного власника(ів), адреса його місця проживання та громадянство.</w:t>
            </w:r>
          </w:p>
        </w:tc>
      </w:tr>
      <w:tr>
        <w:trPr>
          <w:trHeight w:val="3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7.</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Довідка, складена учасником в довільній формі, яка містить інформацію щодо системи оподаткування учасника. </w:t>
            </w:r>
          </w:p>
        </w:tc>
      </w:tr>
      <w:tr>
        <w:trPr>
          <w:trHeight w:val="3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8.</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cs="Times New Roman" w:ascii="Times New Roman" w:hAnsi="Times New Roman"/>
                <w:sz w:val="20"/>
                <w:szCs w:val="20"/>
                <w:lang w:val="uk-UA"/>
              </w:rPr>
              <w:t>Учасник процедури закупівлі має надати витяг з Єдиного реєстру юридичних осіб, фізичних осіб-підприємців та громадських формувань з інформацією щодо учасника, що сформований не раніше дати оприлюднення оголошення про проведення цієї процедури закупівлі.</w:t>
            </w:r>
          </w:p>
        </w:tc>
      </w:tr>
      <w:tr>
        <w:trPr>
          <w:trHeight w:val="380" w:hRule="atLeast"/>
        </w:trPr>
        <w:tc>
          <w:tcPr>
            <w:tcW w:w="59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9.</w:t>
            </w:r>
          </w:p>
        </w:tc>
        <w:tc>
          <w:tcPr>
            <w:tcW w:w="9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В складі тендерних пропозицій учасникам необхідно подати скан-копію довідки або довідок (у разі відкриття рахунків у декількох банках) з усіх обслуговуючих банків (у разі відкриття рахунків у декількох банках) про відсутність або наявність простроченої заборгованості за кредитами, що датовані не раніше дати оприлюднення оголошення про проведення даних відкритих торгів з особливостями. </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footerReference w:type="default" r:id="rId9"/>
      <w:type w:val="nextPage"/>
      <w:pgSz w:w="11906" w:h="16838"/>
      <w:pgMar w:left="1417" w:right="850" w:gutter="0" w:header="0" w:top="850" w:footer="850" w:bottom="159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spacing w:before="0" w:after="16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8</w:t>
    </w:r>
    <w:r>
      <w:rPr>
        <w:sz w:val="24"/>
        <w:szCs w:val="24"/>
        <w:rFonts w:ascii="Times New Roman" w:hAnsi="Times New Roman"/>
      </w:rPr>
      <w:fldChar w:fldCharType="end"/>
    </w:r>
  </w:p>
</w:ft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Rvts0" w:customStyle="1">
    <w:name w:val="rvts0"/>
    <w:qFormat/>
    <w:rsid w:val="00de6d66"/>
    <w:rPr/>
  </w:style>
  <w:style w:type="character" w:styleId="Style9" w:customStyle="1">
    <w:name w:val="Обычный (веб) Знак"/>
    <w:link w:val="NormalWeb"/>
    <w:qFormat/>
    <w:locked/>
    <w:rsid w:val="007156ee"/>
    <w:rPr>
      <w:rFonts w:ascii="Times New Roman" w:hAnsi="Times New Roman" w:eastAsia="Times New Roman" w:cs="Times New Roman"/>
      <w:sz w:val="24"/>
      <w:szCs w:val="24"/>
    </w:rPr>
  </w:style>
  <w:style w:type="character" w:styleId="Style10">
    <w:name w:val="FollowedHyperlink"/>
    <w:rPr>
      <w:color w:val="80000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NormalWeb">
    <w:name w:val="Normal (Web)"/>
    <w:basedOn w:val="Normal"/>
    <w:link w:val="Style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21" w:customStyle="1">
    <w:name w:val="Основной текст с отступом 21"/>
    <w:basedOn w:val="Normal"/>
    <w:qFormat/>
    <w:rsid w:val="002f07da"/>
    <w:pPr>
      <w:suppressAutoHyphens w:val="true"/>
      <w:spacing w:lineRule="auto" w:line="480" w:before="0" w:after="120"/>
      <w:ind w:left="283" w:hanging="0"/>
    </w:pPr>
    <w:rPr>
      <w:rFonts w:eastAsia="Times New Roman" w:cs="Times New Roman"/>
      <w:lang w:eastAsia="zh-CN"/>
    </w:rPr>
  </w:style>
  <w:style w:type="paragraph" w:styleId="Style18">
    <w:name w:val="Верхній і нижній колонтитули"/>
    <w:basedOn w:val="Normal"/>
    <w:qFormat/>
    <w:pPr>
      <w:suppressLineNumbers/>
      <w:tabs>
        <w:tab w:val="clear" w:pos="720"/>
        <w:tab w:val="center" w:pos="4819" w:leader="none"/>
        <w:tab w:val="right" w:pos="9639" w:leader="none"/>
      </w:tabs>
    </w:pPr>
    <w:rPr/>
  </w:style>
  <w:style w:type="paragraph" w:styleId="Style19">
    <w:name w:val="Footer"/>
    <w:basedOn w:val="Style18"/>
    <w:pPr>
      <w:suppressLineNumbers/>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reference/getpersonalreference/legal" TargetMode="External"/><Relationship Id="rId3" Type="http://schemas.openxmlformats.org/officeDocument/2006/relationships/hyperlink" Target="https://vytiah.mvs.gov.ua/app/landing" TargetMode="External"/><Relationship Id="rId4" Type="http://schemas.openxmlformats.org/officeDocument/2006/relationships/hyperlink" Target="https://guide.diia.gov.ua/view/vytiah-z-informatsiino-analitychnoi-systemy-oblik-vidomostei-pro-prytiahnennia-osoby-do-kryminalnoi-vidpovidalnosti-ta-naiavnost" TargetMode="External"/><Relationship Id="rId5" Type="http://schemas.openxmlformats.org/officeDocument/2006/relationships/hyperlink" Target="https://vytiah.mvs.gov.ua/app/landing" TargetMode="External"/><Relationship Id="rId6" Type="http://schemas.openxmlformats.org/officeDocument/2006/relationships/hyperlink" Target="https://guide.diia.gov.ua/view/vytiah-z-informatsiino-analitychnoi-systemy-oblik-vidomostei-pro-prytiahnennia-osoby-do-kryminalnoi-vidpovidalnosti-ta-naiavnost" TargetMode="External"/><Relationship Id="rId7" Type="http://schemas.openxmlformats.org/officeDocument/2006/relationships/hyperlink" Target="https://vytiah.mvs.gov.ua/app/landing" TargetMode="External"/><Relationship Id="rId8" Type="http://schemas.openxmlformats.org/officeDocument/2006/relationships/hyperlink" Target="https://guide.diia.gov.ua/view/vytiah-z-informatsiino-analitychnoi-systemy-oblik-vidomostei-pro-prytiahnennia-osoby-do-kryminalnoi-vidpovidalnosti-ta-naiavnos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AMUW2mVgmQT3ET2MVArKqJzobP9eoGi6g4MXROii6KDD5ei9G3UvBU06+AT908MP1kIIWffEb42hSQKaAXxh4DmdvSpNQnNxaC2qyu5NUOC9W72OT7Eeg4Z4HY9rxNfr/y7jcqAmYI0M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LibreOffice/7.5.4.2$Windows_X86_64 LibreOffice_project/36ccfdc35048b057fd9854c757a8b67ec53977b6</Application>
  <AppVersion>15.0000</AppVersion>
  <Pages>8</Pages>
  <Words>3180</Words>
  <Characters>22472</Characters>
  <CharactersWithSpaces>25577</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
  <dc:description/>
  <dc:language>uk-UA</dc:language>
  <cp:lastModifiedBy/>
  <dcterms:modified xsi:type="dcterms:W3CDTF">2023-08-14T08:40:40Z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