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44392C">
        <w:rPr>
          <w:b/>
        </w:rPr>
        <w:t>2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B42BCB" w:rsidRPr="00B42BCB">
        <w:rPr>
          <w:b/>
        </w:rPr>
        <w:t>1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7E4C19" w:rsidRPr="001B6E39" w:rsidRDefault="007E4C19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7.4 </w:t>
      </w:r>
      <w:r w:rsidRPr="001B6E39">
        <w:rPr>
          <w:shd w:val="clear" w:color="auto" w:fill="FFFFFF"/>
          <w:lang w:val="uk-UA"/>
        </w:rPr>
        <w:t>Умови договору застосовуються до відносин між сторонами, які виникли до його укладення</w:t>
      </w:r>
      <w:r w:rsidR="00DE4EDB">
        <w:rPr>
          <w:shd w:val="clear" w:color="auto" w:fill="FFFFFF"/>
          <w:lang w:val="uk-UA"/>
        </w:rPr>
        <w:t>, а саме з</w:t>
      </w:r>
      <w:r w:rsidR="00B42BCB" w:rsidRPr="00B42BCB">
        <w:rPr>
          <w:b/>
          <w:u w:val="single"/>
          <w:shd w:val="clear" w:color="auto" w:fill="FFFFFF"/>
        </w:rPr>
        <w:t xml:space="preserve">          </w:t>
      </w:r>
      <w:r w:rsidR="00DE4EDB">
        <w:rPr>
          <w:shd w:val="clear" w:color="auto" w:fill="FFFFFF"/>
          <w:lang w:val="uk-UA"/>
        </w:rPr>
        <w:t>,відповідно до частини 3</w:t>
      </w:r>
      <w:r w:rsidRPr="001B6E39">
        <w:rPr>
          <w:shd w:val="clear" w:color="auto" w:fill="FFFFFF"/>
          <w:lang w:val="uk-UA"/>
        </w:rPr>
        <w:t xml:space="preserve"> (ст. 631 Цивільного Кодексу України). Умови цього договору зберігають силу протягом всього терміну цього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lastRenderedPageBreak/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D950F0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="00DC76B5" w:rsidRPr="00CA7888">
        <w:rPr>
          <w:lang w:val="uk-UA"/>
        </w:rPr>
        <w:t xml:space="preserve">  </w:t>
      </w:r>
      <w:r w:rsidR="00D950F0">
        <w:rPr>
          <w:lang w:val="en-US"/>
        </w:rPr>
        <w:t>UA</w:t>
      </w:r>
      <w:r w:rsidR="00D950F0" w:rsidRPr="00D950F0">
        <w:rPr>
          <w:lang w:val="uk-UA"/>
        </w:rPr>
        <w:t>238201720344260010000087654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D950F0" w:rsidRDefault="00D950F0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ДКСУ, м. Київ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D950F0" w:rsidRDefault="005E0E23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D950F0">
        <w:rPr>
          <w:lang w:val="uk-UA"/>
        </w:rPr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D950F0" w:rsidRPr="00D950F0" w:rsidRDefault="005E0E23" w:rsidP="00D950F0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Pr="00CA7888">
        <w:rPr>
          <w:lang w:val="uk-UA"/>
        </w:rPr>
        <w:t xml:space="preserve"> </w:t>
      </w:r>
      <w:r w:rsidR="00D950F0">
        <w:rPr>
          <w:lang w:val="en-US"/>
        </w:rPr>
        <w:t>UA</w:t>
      </w:r>
      <w:r w:rsidR="00D950F0" w:rsidRPr="00D950F0">
        <w:rPr>
          <w:lang w:val="uk-UA"/>
        </w:rPr>
        <w:t>238201720344260010000087654</w:t>
      </w:r>
      <w:r w:rsidR="00D950F0">
        <w:rPr>
          <w:lang w:val="uk-UA"/>
        </w:rPr>
        <w:t xml:space="preserve">                                            </w:t>
      </w:r>
    </w:p>
    <w:p w:rsidR="005E0E23" w:rsidRPr="00D950F0" w:rsidRDefault="00D950F0" w:rsidP="005E0E23">
      <w:pPr>
        <w:pStyle w:val="a3"/>
        <w:spacing w:after="120"/>
        <w:ind w:left="0"/>
        <w:rPr>
          <w:lang w:val="en-US"/>
        </w:rPr>
      </w:pPr>
      <w:r>
        <w:rPr>
          <w:lang w:val="uk-UA"/>
        </w:rPr>
        <w:t>ДКСУ, м. Київ</w:t>
      </w:r>
      <w:r w:rsidR="005E0E23" w:rsidRPr="00CA7888">
        <w:rPr>
          <w:lang w:val="uk-UA"/>
        </w:rPr>
        <w:t xml:space="preserve"> </w:t>
      </w:r>
      <w:r w:rsidR="005E0E23"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  <w:r w:rsidR="005E0E23"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392C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1EBA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2D49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0F0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16</cp:revision>
  <cp:lastPrinted>2020-09-30T10:37:00Z</cp:lastPrinted>
  <dcterms:created xsi:type="dcterms:W3CDTF">2019-09-05T07:28:00Z</dcterms:created>
  <dcterms:modified xsi:type="dcterms:W3CDTF">2022-10-28T08:06:00Z</dcterms:modified>
</cp:coreProperties>
</file>