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F1" w:rsidRDefault="003861F1" w:rsidP="003861F1">
      <w:pPr>
        <w:pBdr>
          <w:top w:val="nil"/>
          <w:left w:val="nil"/>
          <w:bottom w:val="nil"/>
          <w:right w:val="nil"/>
          <w:between w:val="nil"/>
        </w:pBdr>
        <w:spacing w:before="240" w:after="0" w:line="240" w:lineRule="auto"/>
        <w:ind w:left="142"/>
        <w:jc w:val="both"/>
        <w:rPr>
          <w:rFonts w:ascii="Times New Roman" w:eastAsia="Times New Roman" w:hAnsi="Times New Roman" w:cs="Times New Roman"/>
          <w:b/>
          <w:color w:val="000000"/>
          <w:sz w:val="24"/>
          <w:szCs w:val="24"/>
        </w:rPr>
      </w:pPr>
    </w:p>
    <w:p w:rsidR="003861F1" w:rsidRDefault="003861F1" w:rsidP="003861F1">
      <w:pPr>
        <w:pBdr>
          <w:top w:val="nil"/>
          <w:left w:val="nil"/>
          <w:bottom w:val="nil"/>
          <w:right w:val="nil"/>
          <w:between w:val="nil"/>
        </w:pBdr>
        <w:spacing w:after="0" w:line="240" w:lineRule="auto"/>
        <w:ind w:left="142"/>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                                                                                                                                      </w:t>
      </w:r>
      <w:r w:rsidRPr="00050211">
        <w:rPr>
          <w:rFonts w:ascii="Times New Roman" w:eastAsia="Times New Roman" w:hAnsi="Times New Roman" w:cs="Times New Roman"/>
          <w:b/>
          <w:i/>
          <w:color w:val="000000"/>
          <w:sz w:val="24"/>
          <w:szCs w:val="24"/>
        </w:rPr>
        <w:t xml:space="preserve">Додаток </w:t>
      </w:r>
      <w:r>
        <w:rPr>
          <w:rFonts w:ascii="Times New Roman" w:eastAsia="Times New Roman" w:hAnsi="Times New Roman" w:cs="Times New Roman"/>
          <w:b/>
          <w:i/>
          <w:color w:val="000000"/>
          <w:sz w:val="24"/>
          <w:szCs w:val="24"/>
        </w:rPr>
        <w:t>3</w:t>
      </w:r>
      <w:r w:rsidRPr="00050211">
        <w:rPr>
          <w:rFonts w:ascii="Times New Roman" w:eastAsia="Times New Roman" w:hAnsi="Times New Roman" w:cs="Times New Roman"/>
          <w:b/>
          <w:i/>
          <w:color w:val="000000"/>
          <w:sz w:val="24"/>
          <w:szCs w:val="24"/>
        </w:rPr>
        <w:t xml:space="preserve"> до ТД</w:t>
      </w:r>
    </w:p>
    <w:p w:rsidR="003861F1" w:rsidRDefault="003861F1" w:rsidP="003861F1">
      <w:pPr>
        <w:pBdr>
          <w:top w:val="nil"/>
          <w:left w:val="nil"/>
          <w:bottom w:val="nil"/>
          <w:right w:val="nil"/>
          <w:between w:val="nil"/>
        </w:pBdr>
        <w:spacing w:after="0" w:line="240" w:lineRule="auto"/>
        <w:ind w:left="142"/>
        <w:jc w:val="both"/>
        <w:rPr>
          <w:rFonts w:ascii="Times New Roman" w:eastAsia="Times New Roman" w:hAnsi="Times New Roman" w:cs="Times New Roman"/>
          <w:b/>
          <w:i/>
          <w:color w:val="000000"/>
          <w:sz w:val="24"/>
          <w:szCs w:val="24"/>
        </w:rPr>
      </w:pPr>
    </w:p>
    <w:tbl>
      <w:tblPr>
        <w:tblW w:w="16186" w:type="dxa"/>
        <w:tblLook w:val="04A0" w:firstRow="1" w:lastRow="0" w:firstColumn="1" w:lastColumn="0" w:noHBand="0" w:noVBand="1"/>
      </w:tblPr>
      <w:tblGrid>
        <w:gridCol w:w="10242"/>
        <w:gridCol w:w="2262"/>
        <w:gridCol w:w="3682"/>
      </w:tblGrid>
      <w:tr w:rsidR="003861F1" w:rsidTr="00D27545">
        <w:trPr>
          <w:trHeight w:val="485"/>
        </w:trPr>
        <w:tc>
          <w:tcPr>
            <w:tcW w:w="10242" w:type="dxa"/>
            <w:tcMar>
              <w:top w:w="100" w:type="dxa"/>
              <w:left w:w="120" w:type="dxa"/>
              <w:bottom w:w="100" w:type="dxa"/>
              <w:right w:w="120" w:type="dxa"/>
            </w:tcMar>
          </w:tcPr>
          <w:p w:rsidR="003861F1" w:rsidRDefault="003861F1" w:rsidP="00D27545">
            <w:pPr>
              <w:spacing w:after="0" w:line="240" w:lineRule="auto"/>
              <w:ind w:left="142"/>
              <w:jc w:val="both"/>
              <w:rPr>
                <w:rFonts w:ascii="Times New Roman" w:hAnsi="Times New Roman" w:cs="Times New Roman"/>
                <w:b/>
                <w:color w:val="000000"/>
                <w:sz w:val="24"/>
                <w:szCs w:val="24"/>
              </w:rPr>
            </w:pPr>
            <w:r w:rsidRPr="00B9188B">
              <w:rPr>
                <w:rFonts w:ascii="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bookmarkStart w:id="0" w:name="_heading=h.30j0zll" w:colFirst="0" w:colLast="0"/>
            <w:bookmarkEnd w:id="0"/>
          </w:p>
          <w:p w:rsidR="003861F1" w:rsidRDefault="003861F1" w:rsidP="00D27545">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188B">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B9188B">
              <w:rPr>
                <w:rFonts w:ascii="Times New Roman" w:eastAsia="Times New Roman" w:hAnsi="Times New Roman" w:cs="Times New Roman"/>
                <w:sz w:val="24"/>
                <w:szCs w:val="24"/>
              </w:rPr>
              <w:t>закупівель</w:t>
            </w:r>
            <w:proofErr w:type="spellEnd"/>
            <w:r w:rsidRPr="00B9188B">
              <w:rPr>
                <w:rFonts w:ascii="Times New Roman" w:eastAsia="Times New Roman" w:hAnsi="Times New Roman" w:cs="Times New Roman"/>
                <w:sz w:val="24"/>
                <w:szCs w:val="24"/>
              </w:rPr>
              <w:t xml:space="preserve"> під час подання тендерної пропозиції.</w:t>
            </w:r>
            <w:r>
              <w:rPr>
                <w:rFonts w:ascii="Times New Roman" w:eastAsia="Times New Roman" w:hAnsi="Times New Roman" w:cs="Times New Roman"/>
                <w:sz w:val="24"/>
                <w:szCs w:val="24"/>
              </w:rPr>
              <w:t xml:space="preserve"> </w:t>
            </w:r>
          </w:p>
          <w:p w:rsidR="003861F1" w:rsidRDefault="003861F1" w:rsidP="00D27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188B">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9188B">
              <w:rPr>
                <w:rFonts w:ascii="Times New Roman" w:eastAsia="Times New Roman" w:hAnsi="Times New Roman" w:cs="Times New Roman"/>
                <w:sz w:val="24"/>
                <w:szCs w:val="24"/>
              </w:rPr>
              <w:t>закупівель</w:t>
            </w:r>
            <w:proofErr w:type="spellEnd"/>
            <w:r w:rsidRPr="00B9188B">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r>
              <w:rPr>
                <w:rFonts w:ascii="Times New Roman" w:eastAsia="Times New Roman" w:hAnsi="Times New Roman" w:cs="Times New Roman"/>
                <w:sz w:val="24"/>
                <w:szCs w:val="24"/>
              </w:rPr>
              <w:t xml:space="preserve"> </w:t>
            </w:r>
          </w:p>
          <w:p w:rsidR="003861F1" w:rsidRDefault="003861F1" w:rsidP="00D27545">
            <w:pPr>
              <w:pStyle w:val="rvps2"/>
              <w:shd w:val="clear" w:color="auto" w:fill="FFFFFF"/>
              <w:spacing w:before="0" w:beforeAutospacing="0" w:after="0" w:afterAutospacing="0"/>
              <w:jc w:val="both"/>
              <w:rPr>
                <w:color w:val="000000"/>
              </w:rPr>
            </w:pPr>
            <w:r>
              <w:t xml:space="preserve">      </w:t>
            </w:r>
            <w:r>
              <w:rPr>
                <w:color w:val="000000"/>
              </w:rPr>
              <w:t>Учасник може здійснити декларування відсутності вказаних  підстав шляхом подання у складі тендерної пропозиції</w:t>
            </w:r>
            <w:r w:rsidRPr="001222C7">
              <w:rPr>
                <w:color w:val="000000"/>
              </w:rPr>
              <w:t xml:space="preserve"> довідок (або зведеної довідки</w:t>
            </w:r>
            <w:r>
              <w:rPr>
                <w:color w:val="000000"/>
              </w:rPr>
              <w:t>, інформації у складі інших документів, що надаються у складі тендерної пропозиції, тощо</w:t>
            </w:r>
            <w:r w:rsidRPr="001222C7">
              <w:rPr>
                <w:color w:val="000000"/>
              </w:rPr>
              <w:t xml:space="preserve">), складених учасником у довільній формі, зміст яких підтверджує відсутність відповідних підстав для відмови в участі у процедурі закупівлі, </w:t>
            </w:r>
            <w:r>
              <w:rPr>
                <w:color w:val="000000"/>
              </w:rPr>
              <w:t>що передбачені цим пунктом.</w:t>
            </w:r>
          </w:p>
          <w:p w:rsidR="003861F1" w:rsidRDefault="003861F1" w:rsidP="00D27545">
            <w:pPr>
              <w:pStyle w:val="rvps2"/>
              <w:shd w:val="clear" w:color="auto" w:fill="FFFFFF"/>
              <w:spacing w:before="0" w:beforeAutospacing="0" w:after="0" w:afterAutospacing="0"/>
              <w:jc w:val="both"/>
              <w:rPr>
                <w:color w:val="000000"/>
              </w:rPr>
            </w:pPr>
            <w:r>
              <w:rPr>
                <w:color w:val="000000"/>
              </w:rPr>
              <w:t xml:space="preserve">       У випадку </w:t>
            </w:r>
            <w:r w:rsidRPr="001222C7">
              <w:rPr>
                <w:color w:val="000000"/>
              </w:rPr>
              <w:t xml:space="preserve">відсутності відповідного поля в електронній системі </w:t>
            </w:r>
            <w:proofErr w:type="spellStart"/>
            <w:r w:rsidRPr="001222C7">
              <w:rPr>
                <w:color w:val="000000"/>
              </w:rPr>
              <w:t>закупівель</w:t>
            </w:r>
            <w:proofErr w:type="spellEnd"/>
            <w:r w:rsidRPr="001222C7">
              <w:rPr>
                <w:color w:val="000000"/>
              </w:rPr>
              <w:t xml:space="preserve"> для підтвердження учасником</w:t>
            </w:r>
            <w:r>
              <w:rPr>
                <w:color w:val="000000"/>
              </w:rPr>
              <w:t xml:space="preserve"> при поданні тендерної пропозиції </w:t>
            </w:r>
            <w:r w:rsidRPr="001222C7">
              <w:rPr>
                <w:color w:val="000000"/>
              </w:rPr>
              <w:t xml:space="preserve">відсутності підстави для відмови в участі у процедурі закупівлі </w:t>
            </w:r>
            <w:r w:rsidRPr="005425D4">
              <w:rPr>
                <w:b/>
                <w:color w:val="000000"/>
              </w:rPr>
              <w:t>згідно частини 2 статті 17 Закону</w:t>
            </w:r>
            <w:r>
              <w:rPr>
                <w:color w:val="000000"/>
              </w:rPr>
              <w:t xml:space="preserve"> (або будь-якої іншої з підстав, що визначені цим пунктом)</w:t>
            </w:r>
            <w:r w:rsidRPr="001222C7">
              <w:rPr>
                <w:color w:val="000000"/>
              </w:rPr>
              <w:t xml:space="preserve">, </w:t>
            </w:r>
            <w:r w:rsidRPr="005425D4">
              <w:rPr>
                <w:b/>
                <w:color w:val="000000"/>
              </w:rPr>
              <w:t xml:space="preserve">інформація про відсутність такої підстави для відмови учаснику в участі у процедурі закупівлі надається учасником у складі тендерної пропозиції згідно вимог цього пункту у вигляді довідки </w:t>
            </w:r>
            <w:r w:rsidRPr="00353653">
              <w:rPr>
                <w:b/>
                <w:color w:val="000000"/>
              </w:rPr>
              <w:t>(або зведеної довідки, інформації у складі інших документів, що надаються у складі тендерної пропозиції, тощо), складеної учасником у довільній формі.</w:t>
            </w:r>
            <w:r w:rsidRPr="001222C7">
              <w:rPr>
                <w:color w:val="000000"/>
              </w:rPr>
              <w:t xml:space="preserve"> </w:t>
            </w:r>
          </w:p>
          <w:p w:rsidR="003861F1" w:rsidRPr="00B9188B" w:rsidRDefault="003861F1" w:rsidP="00D27545">
            <w:pPr>
              <w:spacing w:after="0" w:line="240" w:lineRule="auto"/>
              <w:jc w:val="both"/>
              <w:rPr>
                <w:sz w:val="24"/>
                <w:szCs w:val="24"/>
              </w:rPr>
            </w:pPr>
            <w:r>
              <w:rPr>
                <w:rFonts w:ascii="Times New Roman" w:eastAsia="Times New Roman" w:hAnsi="Times New Roman" w:cs="Times New Roman"/>
                <w:sz w:val="24"/>
                <w:szCs w:val="24"/>
              </w:rPr>
              <w:t xml:space="preserve">      </w:t>
            </w:r>
            <w:r w:rsidRPr="00B9188B">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c>
          <w:tcPr>
            <w:tcW w:w="2262" w:type="dxa"/>
            <w:tcMar>
              <w:top w:w="100" w:type="dxa"/>
              <w:left w:w="120" w:type="dxa"/>
              <w:bottom w:w="100" w:type="dxa"/>
              <w:right w:w="120" w:type="dxa"/>
            </w:tcMar>
          </w:tcPr>
          <w:p w:rsidR="003861F1" w:rsidRPr="00B9188B" w:rsidRDefault="003861F1" w:rsidP="00D27545">
            <w:pPr>
              <w:pStyle w:val="a3"/>
              <w:spacing w:before="0" w:beforeAutospacing="0" w:after="0" w:afterAutospacing="0" w:line="256" w:lineRule="auto"/>
              <w:jc w:val="center"/>
              <w:rPr>
                <w:lang w:eastAsia="en-US"/>
              </w:rPr>
            </w:pPr>
          </w:p>
        </w:tc>
        <w:tc>
          <w:tcPr>
            <w:tcW w:w="3682" w:type="dxa"/>
            <w:tcMar>
              <w:top w:w="100" w:type="dxa"/>
              <w:left w:w="120" w:type="dxa"/>
              <w:bottom w:w="100" w:type="dxa"/>
              <w:right w:w="120" w:type="dxa"/>
            </w:tcMar>
          </w:tcPr>
          <w:p w:rsidR="003861F1" w:rsidRDefault="003861F1" w:rsidP="00D27545">
            <w:pPr>
              <w:pStyle w:val="a3"/>
              <w:spacing w:before="0" w:beforeAutospacing="0" w:after="0" w:afterAutospacing="0" w:line="256" w:lineRule="auto"/>
              <w:jc w:val="center"/>
              <w:rPr>
                <w:lang w:eastAsia="en-US"/>
              </w:rPr>
            </w:pPr>
          </w:p>
        </w:tc>
      </w:tr>
      <w:tr w:rsidR="003861F1" w:rsidTr="00D27545">
        <w:trPr>
          <w:trHeight w:val="116"/>
        </w:trPr>
        <w:tc>
          <w:tcPr>
            <w:tcW w:w="10242" w:type="dxa"/>
            <w:tcMar>
              <w:top w:w="100" w:type="dxa"/>
              <w:left w:w="120" w:type="dxa"/>
              <w:bottom w:w="100" w:type="dxa"/>
              <w:right w:w="120" w:type="dxa"/>
            </w:tcMar>
          </w:tcPr>
          <w:p w:rsidR="003861F1" w:rsidRDefault="003861F1" w:rsidP="00D27545">
            <w:pPr>
              <w:pStyle w:val="a3"/>
              <w:spacing w:before="0" w:beforeAutospacing="0" w:after="0" w:afterAutospacing="0" w:line="256" w:lineRule="auto"/>
              <w:jc w:val="center"/>
              <w:rPr>
                <w:lang w:eastAsia="en-US"/>
              </w:rPr>
            </w:pPr>
          </w:p>
        </w:tc>
        <w:tc>
          <w:tcPr>
            <w:tcW w:w="2262" w:type="dxa"/>
            <w:tcMar>
              <w:top w:w="100" w:type="dxa"/>
              <w:left w:w="120" w:type="dxa"/>
              <w:bottom w:w="100" w:type="dxa"/>
              <w:right w:w="120" w:type="dxa"/>
            </w:tcMar>
          </w:tcPr>
          <w:p w:rsidR="003861F1" w:rsidRDefault="003861F1" w:rsidP="00D27545">
            <w:pPr>
              <w:pStyle w:val="a3"/>
              <w:spacing w:before="0" w:beforeAutospacing="0" w:after="0" w:afterAutospacing="0" w:line="256" w:lineRule="auto"/>
              <w:jc w:val="center"/>
              <w:rPr>
                <w:lang w:eastAsia="en-US"/>
              </w:rPr>
            </w:pPr>
          </w:p>
        </w:tc>
        <w:tc>
          <w:tcPr>
            <w:tcW w:w="3682" w:type="dxa"/>
            <w:tcMar>
              <w:top w:w="100" w:type="dxa"/>
              <w:left w:w="120" w:type="dxa"/>
              <w:bottom w:w="100" w:type="dxa"/>
              <w:right w:w="120" w:type="dxa"/>
            </w:tcMar>
          </w:tcPr>
          <w:p w:rsidR="003861F1" w:rsidRDefault="003861F1" w:rsidP="00D27545">
            <w:pPr>
              <w:pStyle w:val="a3"/>
              <w:spacing w:before="0" w:beforeAutospacing="0" w:after="0" w:afterAutospacing="0" w:line="256" w:lineRule="auto"/>
              <w:jc w:val="center"/>
              <w:rPr>
                <w:lang w:eastAsia="en-US"/>
              </w:rPr>
            </w:pPr>
          </w:p>
        </w:tc>
      </w:tr>
    </w:tbl>
    <w:p w:rsidR="003861F1" w:rsidRDefault="003861F1" w:rsidP="003861F1">
      <w:pPr>
        <w:spacing w:before="240" w:after="0" w:line="240" w:lineRule="auto"/>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w:t>
      </w:r>
      <w:r w:rsidRPr="00926443">
        <w:rPr>
          <w:rFonts w:ascii="Times New Roman" w:eastAsia="Times New Roman" w:hAnsi="Times New Roman" w:cs="Times New Roman"/>
          <w:b/>
          <w:color w:val="000000"/>
          <w:sz w:val="24"/>
          <w:szCs w:val="24"/>
          <w:u w:val="single"/>
        </w:rPr>
        <w:t>ПЕРЕМОЖЦЯ</w:t>
      </w:r>
      <w:r>
        <w:rPr>
          <w:rFonts w:ascii="Times New Roman" w:eastAsia="Times New Roman" w:hAnsi="Times New Roman" w:cs="Times New Roman"/>
          <w:b/>
          <w:color w:val="000000"/>
          <w:sz w:val="24"/>
          <w:szCs w:val="24"/>
        </w:rPr>
        <w:t xml:space="preserve"> вимогам, визначеним у статті 17 Закону  “Про публічні закупівлі” </w:t>
      </w:r>
      <w:r w:rsidRPr="00B9188B">
        <w:rPr>
          <w:rFonts w:ascii="Times New Roman" w:hAnsi="Times New Roman" w:cs="Times New Roman"/>
          <w:b/>
          <w:color w:val="000000"/>
          <w:sz w:val="24"/>
          <w:szCs w:val="24"/>
        </w:rPr>
        <w:t>) у відповідності до вимог Особливостей</w:t>
      </w:r>
      <w:r>
        <w:rPr>
          <w:rFonts w:ascii="Times New Roman" w:hAnsi="Times New Roman" w:cs="Times New Roman"/>
          <w:b/>
          <w:color w:val="000000"/>
          <w:sz w:val="24"/>
          <w:szCs w:val="24"/>
        </w:rPr>
        <w:t>.</w:t>
      </w:r>
    </w:p>
    <w:p w:rsidR="003861F1" w:rsidRDefault="003861F1" w:rsidP="003861F1">
      <w:pPr>
        <w:spacing w:after="0" w:line="240" w:lineRule="auto"/>
        <w:jc w:val="both"/>
        <w:rPr>
          <w:rFonts w:ascii="Times New Roman" w:eastAsia="Times New Roman" w:hAnsi="Times New Roman" w:cs="Times New Roman"/>
          <w:sz w:val="24"/>
          <w:szCs w:val="24"/>
        </w:rPr>
      </w:pPr>
      <w:r w:rsidRPr="00B9188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861F1" w:rsidRPr="00B9188B" w:rsidRDefault="003861F1" w:rsidP="003861F1">
      <w:pPr>
        <w:spacing w:after="0" w:line="240" w:lineRule="auto"/>
        <w:jc w:val="both"/>
        <w:rPr>
          <w:rFonts w:ascii="Times New Roman" w:eastAsia="Times New Roman" w:hAnsi="Times New Roman" w:cs="Times New Roman"/>
          <w:b/>
          <w:sz w:val="24"/>
          <w:szCs w:val="24"/>
        </w:rPr>
      </w:pPr>
    </w:p>
    <w:p w:rsidR="003861F1" w:rsidRDefault="003861F1" w:rsidP="003861F1">
      <w:pPr>
        <w:spacing w:after="0" w:line="240" w:lineRule="auto"/>
        <w:jc w:val="both"/>
        <w:rPr>
          <w:rFonts w:ascii="Times New Roman" w:eastAsia="Times New Roman" w:hAnsi="Times New Roman" w:cs="Times New Roman"/>
          <w:b/>
          <w:sz w:val="24"/>
          <w:szCs w:val="24"/>
        </w:rPr>
      </w:pPr>
      <w:r w:rsidRPr="00B9188B">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B9188B">
        <w:rPr>
          <w:rFonts w:ascii="Times New Roman" w:eastAsia="Times New Roman" w:hAnsi="Times New Roman" w:cs="Times New Roman"/>
          <w:b/>
          <w:sz w:val="24"/>
          <w:szCs w:val="24"/>
        </w:rPr>
        <w:t>закупівель</w:t>
      </w:r>
      <w:proofErr w:type="spellEnd"/>
      <w:r w:rsidRPr="00B9188B">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9188B">
        <w:rPr>
          <w:rFonts w:ascii="Times New Roman" w:eastAsia="Times New Roman" w:hAnsi="Times New Roman" w:cs="Times New Roman"/>
          <w:b/>
          <w:sz w:val="24"/>
          <w:szCs w:val="24"/>
        </w:rPr>
        <w:t>закупівель</w:t>
      </w:r>
      <w:proofErr w:type="spellEnd"/>
      <w:r w:rsidRPr="00B9188B">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bookmarkStart w:id="1" w:name="_heading=h.1fob9te" w:colFirst="0" w:colLast="0"/>
      <w:bookmarkEnd w:id="1"/>
    </w:p>
    <w:p w:rsidR="003861F1" w:rsidRDefault="003861F1" w:rsidP="003861F1">
      <w:pPr>
        <w:spacing w:after="0" w:line="240" w:lineRule="auto"/>
        <w:jc w:val="both"/>
        <w:rPr>
          <w:rFonts w:ascii="Times New Roman" w:eastAsia="Times New Roman" w:hAnsi="Times New Roman" w:cs="Times New Roman"/>
          <w:b/>
          <w:sz w:val="24"/>
          <w:szCs w:val="24"/>
        </w:rPr>
      </w:pPr>
    </w:p>
    <w:p w:rsidR="00B468A3" w:rsidRDefault="003861F1" w:rsidP="003861F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B468A3" w:rsidRDefault="00B468A3" w:rsidP="003861F1">
      <w:pPr>
        <w:spacing w:after="0" w:line="240" w:lineRule="auto"/>
        <w:jc w:val="both"/>
        <w:rPr>
          <w:rFonts w:ascii="Times New Roman" w:eastAsia="Times New Roman" w:hAnsi="Times New Roman" w:cs="Times New Roman"/>
          <w:b/>
          <w:sz w:val="24"/>
          <w:szCs w:val="24"/>
        </w:rPr>
      </w:pPr>
    </w:p>
    <w:p w:rsidR="00B468A3" w:rsidRDefault="00B468A3" w:rsidP="003861F1">
      <w:pPr>
        <w:spacing w:after="0" w:line="240" w:lineRule="auto"/>
        <w:jc w:val="both"/>
        <w:rPr>
          <w:rFonts w:ascii="Times New Roman" w:eastAsia="Times New Roman" w:hAnsi="Times New Roman" w:cs="Times New Roman"/>
          <w:b/>
          <w:sz w:val="24"/>
          <w:szCs w:val="24"/>
        </w:rPr>
      </w:pPr>
    </w:p>
    <w:p w:rsidR="00B468A3" w:rsidRDefault="00B468A3" w:rsidP="003861F1">
      <w:pPr>
        <w:spacing w:after="0" w:line="240" w:lineRule="auto"/>
        <w:jc w:val="both"/>
        <w:rPr>
          <w:rFonts w:ascii="Times New Roman" w:eastAsia="Times New Roman" w:hAnsi="Times New Roman" w:cs="Times New Roman"/>
          <w:b/>
          <w:sz w:val="24"/>
          <w:szCs w:val="24"/>
        </w:rPr>
      </w:pPr>
    </w:p>
    <w:p w:rsidR="00B468A3" w:rsidRDefault="00B468A3" w:rsidP="003861F1">
      <w:pPr>
        <w:spacing w:after="0" w:line="240" w:lineRule="auto"/>
        <w:jc w:val="both"/>
        <w:rPr>
          <w:rFonts w:ascii="Times New Roman" w:eastAsia="Times New Roman" w:hAnsi="Times New Roman" w:cs="Times New Roman"/>
          <w:b/>
          <w:sz w:val="24"/>
          <w:szCs w:val="24"/>
        </w:rPr>
      </w:pPr>
    </w:p>
    <w:p w:rsidR="003861F1" w:rsidRDefault="003861F1" w:rsidP="00B468A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Документи, які надаються  ПЕРЕМОЖЦЕМ (юридичною особою):</w:t>
      </w:r>
    </w:p>
    <w:p w:rsidR="003861F1" w:rsidRDefault="003861F1" w:rsidP="003861F1">
      <w:pPr>
        <w:spacing w:after="0" w:line="240" w:lineRule="auto"/>
        <w:jc w:val="center"/>
        <w:rPr>
          <w:rFonts w:ascii="Times New Roman" w:eastAsia="Times New Roman" w:hAnsi="Times New Roman" w:cs="Times New Roman"/>
          <w:b/>
          <w:color w:val="000000"/>
          <w:sz w:val="24"/>
          <w:szCs w:val="24"/>
        </w:rPr>
      </w:pPr>
    </w:p>
    <w:tbl>
      <w:tblPr>
        <w:tblW w:w="10632" w:type="dxa"/>
        <w:tblInd w:w="-10" w:type="dxa"/>
        <w:tblLayout w:type="fixed"/>
        <w:tblLook w:val="0400" w:firstRow="0" w:lastRow="0" w:firstColumn="0" w:lastColumn="0" w:noHBand="0" w:noVBand="1"/>
      </w:tblPr>
      <w:tblGrid>
        <w:gridCol w:w="426"/>
        <w:gridCol w:w="4824"/>
        <w:gridCol w:w="5382"/>
      </w:tblGrid>
      <w:tr w:rsidR="003861F1" w:rsidTr="00D27545">
        <w:trPr>
          <w:trHeight w:val="143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3861F1" w:rsidRDefault="003861F1" w:rsidP="00D27545">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статті 17 Закону</w:t>
            </w:r>
          </w:p>
          <w:p w:rsidR="003861F1" w:rsidRDefault="003861F1" w:rsidP="00D27545">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3861F1" w:rsidTr="00D27545">
        <w:trPr>
          <w:trHeight w:val="1291"/>
        </w:trPr>
        <w:tc>
          <w:tcPr>
            <w:tcW w:w="42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861F1" w:rsidRDefault="00065CAB" w:rsidP="00D27545">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82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861F1" w:rsidRDefault="003861F1" w:rsidP="00D27545">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3 частини 1 статті 17 Закону)</w:t>
            </w:r>
          </w:p>
        </w:tc>
        <w:tc>
          <w:tcPr>
            <w:tcW w:w="538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861F1" w:rsidRPr="004C65D6" w:rsidRDefault="003861F1" w:rsidP="00D27545">
            <w:pPr>
              <w:spacing w:after="0" w:line="240" w:lineRule="auto"/>
              <w:ind w:firstLine="321"/>
              <w:jc w:val="both"/>
              <w:rPr>
                <w:rFonts w:ascii="Times New Roman" w:hAnsi="Times New Roman" w:cs="Times New Roman"/>
                <w:bCs/>
                <w:sz w:val="24"/>
                <w:szCs w:val="24"/>
              </w:rPr>
            </w:pPr>
            <w:r w:rsidRPr="004C65D6">
              <w:rPr>
                <w:rFonts w:ascii="Times New Roman" w:hAnsi="Times New Roman" w:cs="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rsidR="003861F1" w:rsidRDefault="003861F1" w:rsidP="00D27545">
            <w:pPr>
              <w:spacing w:after="0" w:line="240" w:lineRule="auto"/>
              <w:ind w:right="140"/>
              <w:jc w:val="both"/>
              <w:rPr>
                <w:rFonts w:ascii="Times New Roman" w:eastAsia="Times New Roman" w:hAnsi="Times New Roman" w:cs="Times New Roman"/>
                <w:b/>
                <w:color w:val="000000"/>
                <w:sz w:val="24"/>
                <w:szCs w:val="24"/>
              </w:rPr>
            </w:pPr>
            <w:r w:rsidRPr="004C65D6">
              <w:rPr>
                <w:rFonts w:ascii="Times New Roman" w:hAnsi="Times New Roman" w:cs="Times New Roman"/>
                <w:bCs/>
                <w:sz w:val="24"/>
                <w:szCs w:val="24"/>
              </w:rPr>
              <w:t xml:space="preserve">Довідка надається в період відсутності функціональної можливості перевірки інформації </w:t>
            </w:r>
            <w:proofErr w:type="spellStart"/>
            <w:r w:rsidRPr="004C65D6">
              <w:rPr>
                <w:rFonts w:ascii="Times New Roman" w:hAnsi="Times New Roman" w:cs="Times New Roman"/>
                <w:bCs/>
                <w:sz w:val="24"/>
                <w:szCs w:val="24"/>
              </w:rPr>
              <w:t>вебресурсі</w:t>
            </w:r>
            <w:proofErr w:type="spellEnd"/>
            <w:r w:rsidRPr="004C65D6">
              <w:rPr>
                <w:rFonts w:ascii="Times New Roman" w:hAnsi="Times New Roman" w:cs="Times New Roman"/>
                <w:bCs/>
                <w:sz w:val="24"/>
                <w:szCs w:val="24"/>
              </w:rPr>
              <w:t xml:space="preserve"> Єдиного державного реєстру осіб, які вчинили корупційні або пов’язані з корупцією правопорушення</w:t>
            </w:r>
            <w:r>
              <w:rPr>
                <w:rFonts w:ascii="Times New Roman" w:hAnsi="Times New Roman" w:cs="Times New Roman"/>
                <w:bCs/>
                <w:sz w:val="24"/>
                <w:szCs w:val="24"/>
              </w:rPr>
              <w:t>, яка не стосується запитувача.</w:t>
            </w:r>
          </w:p>
        </w:tc>
      </w:tr>
      <w:tr w:rsidR="003861F1" w:rsidTr="00D27545">
        <w:trPr>
          <w:trHeight w:val="589"/>
        </w:trPr>
        <w:tc>
          <w:tcPr>
            <w:tcW w:w="42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861F1" w:rsidRDefault="00065CAB" w:rsidP="00D27545">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482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861F1" w:rsidRDefault="003861F1" w:rsidP="00D27545">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6 частини 1 статті 17 Закону)</w:t>
            </w:r>
          </w:p>
        </w:tc>
        <w:tc>
          <w:tcPr>
            <w:tcW w:w="538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861F1" w:rsidRDefault="003861F1" w:rsidP="00D2754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50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Повний в</w:t>
            </w:r>
            <w:r w:rsidRPr="00050211">
              <w:rPr>
                <w:rFonts w:ascii="Times New Roman" w:eastAsia="Times New Roman" w:hAnsi="Times New Roman" w:cs="Times New Roman"/>
                <w:sz w:val="24"/>
                <w:szCs w:val="24"/>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3861F1" w:rsidTr="00D27545">
        <w:trPr>
          <w:trHeight w:val="3849"/>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065CAB" w:rsidP="00D27545">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61F1" w:rsidRDefault="003861F1" w:rsidP="00D27545">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12 частини 1 статті 17 Закону)</w:t>
            </w:r>
          </w:p>
        </w:tc>
        <w:tc>
          <w:tcPr>
            <w:tcW w:w="5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pBdr>
                <w:top w:val="nil"/>
                <w:left w:val="nil"/>
                <w:bottom w:val="nil"/>
                <w:right w:val="nil"/>
                <w:between w:val="nil"/>
              </w:pBdr>
              <w:spacing w:after="0" w:line="240" w:lineRule="auto"/>
              <w:ind w:left="140" w:right="140"/>
              <w:jc w:val="both"/>
              <w:rPr>
                <w:rFonts w:ascii="Times New Roman" w:eastAsia="Times New Roman" w:hAnsi="Times New Roman" w:cs="Times New Roman"/>
                <w:sz w:val="24"/>
                <w:szCs w:val="24"/>
              </w:rPr>
            </w:pPr>
            <w:r w:rsidRPr="00050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Повний в</w:t>
            </w:r>
            <w:r w:rsidRPr="00050211">
              <w:rPr>
                <w:rFonts w:ascii="Times New Roman" w:eastAsia="Times New Roman" w:hAnsi="Times New Roman" w:cs="Times New Roman"/>
                <w:sz w:val="24"/>
                <w:szCs w:val="24"/>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3861F1" w:rsidTr="00D27545">
        <w:trPr>
          <w:trHeight w:val="375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A32510" w:rsidP="00D27545">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4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3861F1" w:rsidRDefault="003861F1" w:rsidP="00D27545">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(частина 2 статті 17 Закону)</w:t>
            </w:r>
          </w:p>
        </w:tc>
        <w:tc>
          <w:tcPr>
            <w:tcW w:w="5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861F1" w:rsidRDefault="003861F1" w:rsidP="003861F1">
      <w:pPr>
        <w:spacing w:after="0" w:line="240" w:lineRule="auto"/>
        <w:jc w:val="center"/>
        <w:rPr>
          <w:rFonts w:ascii="Times New Roman" w:eastAsia="Times New Roman" w:hAnsi="Times New Roman" w:cs="Times New Roman"/>
          <w:b/>
          <w:color w:val="000000"/>
          <w:sz w:val="24"/>
          <w:szCs w:val="24"/>
        </w:rPr>
      </w:pPr>
    </w:p>
    <w:p w:rsidR="003861F1" w:rsidRDefault="003861F1" w:rsidP="003861F1">
      <w:pPr>
        <w:spacing w:after="0" w:line="240" w:lineRule="auto"/>
        <w:jc w:val="center"/>
        <w:rPr>
          <w:rFonts w:ascii="Times New Roman" w:eastAsia="Times New Roman" w:hAnsi="Times New Roman" w:cs="Times New Roman"/>
          <w:b/>
          <w:color w:val="000000"/>
          <w:sz w:val="24"/>
          <w:szCs w:val="24"/>
        </w:rPr>
      </w:pPr>
    </w:p>
    <w:p w:rsidR="003861F1" w:rsidRDefault="003861F1" w:rsidP="003861F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Документи, які надаються ПЕРЕМОЖЦЕМ (фізичною особою чи фізичною особою</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підприємцем):</w:t>
      </w:r>
    </w:p>
    <w:tbl>
      <w:tblPr>
        <w:tblW w:w="10773" w:type="dxa"/>
        <w:tblInd w:w="-10" w:type="dxa"/>
        <w:tblLayout w:type="fixed"/>
        <w:tblLook w:val="0400" w:firstRow="0" w:lastRow="0" w:firstColumn="0" w:lastColumn="0" w:noHBand="0" w:noVBand="1"/>
      </w:tblPr>
      <w:tblGrid>
        <w:gridCol w:w="660"/>
        <w:gridCol w:w="4680"/>
        <w:gridCol w:w="5433"/>
      </w:tblGrid>
      <w:tr w:rsidR="003861F1" w:rsidTr="00D27545">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3861F1" w:rsidRDefault="003861F1" w:rsidP="00D27545">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статті 17 Закону</w:t>
            </w:r>
          </w:p>
          <w:p w:rsidR="003861F1" w:rsidRDefault="003861F1" w:rsidP="00D27545">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3861F1" w:rsidTr="00D27545">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861F1" w:rsidRDefault="003861F1" w:rsidP="00D27545">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3 частини 1 статті 17 Закону)</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Pr="00050211" w:rsidRDefault="003861F1" w:rsidP="00D27545">
            <w:pPr>
              <w:spacing w:after="0" w:line="240" w:lineRule="auto"/>
              <w:ind w:right="140"/>
              <w:jc w:val="both"/>
              <w:rPr>
                <w:rFonts w:ascii="Times New Roman" w:eastAsia="Times New Roman" w:hAnsi="Times New Roman" w:cs="Times New Roman"/>
                <w:color w:val="000000"/>
                <w:sz w:val="24"/>
                <w:szCs w:val="24"/>
              </w:rPr>
            </w:pPr>
            <w:r w:rsidRPr="00050211">
              <w:rPr>
                <w:rFonts w:ascii="Times New Roman" w:eastAsia="Times New Roman" w:hAnsi="Times New Roman" w:cs="Times New Roman"/>
                <w:sz w:val="24"/>
                <w:szCs w:val="24"/>
              </w:rPr>
              <w:t>Інформаційна довідка</w:t>
            </w:r>
            <w:r>
              <w:rPr>
                <w:rFonts w:ascii="Times New Roman" w:eastAsia="Times New Roman" w:hAnsi="Times New Roman" w:cs="Times New Roman"/>
                <w:sz w:val="24"/>
                <w:szCs w:val="24"/>
              </w:rPr>
              <w:t xml:space="preserve">  </w:t>
            </w:r>
            <w:r w:rsidRPr="00050211">
              <w:rPr>
                <w:rFonts w:ascii="Times New Roman" w:eastAsia="Times New Roman" w:hAnsi="Times New Roman" w:cs="Times New Roman"/>
                <w:sz w:val="24"/>
                <w:szCs w:val="24"/>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w:t>
            </w:r>
            <w:r>
              <w:rPr>
                <w:rFonts w:ascii="Times New Roman" w:eastAsia="Times New Roman" w:hAnsi="Times New Roman" w:cs="Times New Roman"/>
                <w:sz w:val="24"/>
                <w:szCs w:val="24"/>
              </w:rPr>
              <w:t xml:space="preserve"> </w:t>
            </w:r>
            <w:r w:rsidRPr="00050211">
              <w:rPr>
                <w:rFonts w:ascii="Times New Roman" w:eastAsia="Times New Roman" w:hAnsi="Times New Roman" w:cs="Times New Roman"/>
                <w:sz w:val="24"/>
                <w:szCs w:val="24"/>
              </w:rPr>
              <w:t>надається в період відсутності функціональної можливості перевірки інформації на веб</w:t>
            </w:r>
            <w:r>
              <w:rPr>
                <w:rFonts w:ascii="Times New Roman" w:eastAsia="Times New Roman" w:hAnsi="Times New Roman" w:cs="Times New Roman"/>
                <w:sz w:val="24"/>
                <w:szCs w:val="24"/>
              </w:rPr>
              <w:t>-</w:t>
            </w:r>
            <w:r w:rsidRPr="00050211">
              <w:rPr>
                <w:rFonts w:ascii="Times New Roman" w:eastAsia="Times New Roman" w:hAnsi="Times New Roman" w:cs="Times New Roman"/>
                <w:sz w:val="24"/>
                <w:szCs w:val="24"/>
              </w:rPr>
              <w:t xml:space="preserve">ресурсі Єдиного державного реєстру осіб, які вчинили корупційні або пов’язані з корупцією </w:t>
            </w:r>
            <w:r>
              <w:rPr>
                <w:rFonts w:ascii="Times New Roman" w:eastAsia="Times New Roman" w:hAnsi="Times New Roman" w:cs="Times New Roman"/>
                <w:sz w:val="24"/>
                <w:szCs w:val="24"/>
              </w:rPr>
              <w:t>правопорушення, яка не стосується запитувача.</w:t>
            </w:r>
          </w:p>
        </w:tc>
      </w:tr>
      <w:tr w:rsidR="003861F1" w:rsidTr="00D27545">
        <w:trPr>
          <w:trHeight w:val="58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861F1" w:rsidRDefault="003861F1" w:rsidP="00D27545">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(пункт 5 частини 1 статті 17 Закону)</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Повний в</w:t>
            </w:r>
            <w:r w:rsidRPr="00050211">
              <w:rPr>
                <w:rFonts w:ascii="Times New Roman" w:eastAsia="Times New Roman" w:hAnsi="Times New Roman" w:cs="Times New Roman"/>
                <w:sz w:val="24"/>
                <w:szCs w:val="24"/>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3861F1" w:rsidTr="00D27545">
        <w:trPr>
          <w:trHeight w:val="3111"/>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61F1" w:rsidRDefault="003861F1" w:rsidP="00D27545">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12 частини 1 статті 17 Закону)</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right="140"/>
              <w:jc w:val="both"/>
              <w:rPr>
                <w:rFonts w:ascii="Times New Roman" w:eastAsia="Times New Roman" w:hAnsi="Times New Roman" w:cs="Times New Roman"/>
                <w:color w:val="000000"/>
                <w:sz w:val="24"/>
                <w:szCs w:val="24"/>
              </w:rPr>
            </w:pPr>
            <w:r w:rsidRPr="00050211">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w:t>
            </w:r>
            <w:r>
              <w:rPr>
                <w:rFonts w:ascii="Times New Roman" w:eastAsia="Times New Roman" w:hAnsi="Times New Roman" w:cs="Times New Roman"/>
                <w:b/>
                <w:sz w:val="24"/>
                <w:szCs w:val="24"/>
              </w:rPr>
              <w:t xml:space="preserve"> </w:t>
            </w:r>
            <w:r w:rsidRPr="00050211">
              <w:rPr>
                <w:rFonts w:ascii="Times New Roman" w:eastAsia="Times New Roman" w:hAnsi="Times New Roman" w:cs="Times New Roman"/>
                <w:sz w:val="24"/>
                <w:szCs w:val="24"/>
              </w:rPr>
              <w:t>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3861F1" w:rsidTr="00D27545">
        <w:trPr>
          <w:trHeight w:val="86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542BF4" w:rsidP="00D27545">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bookmarkStart w:id="2" w:name="_GoBack"/>
            <w:bookmarkEnd w:id="2"/>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3861F1" w:rsidRDefault="003861F1" w:rsidP="00D27545">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(частина 2 статті 17 Закону)</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C7F75" w:rsidRDefault="008C7F75" w:rsidP="003861F1">
      <w:pPr>
        <w:ind w:left="-426"/>
      </w:pPr>
    </w:p>
    <w:sectPr w:rsidR="008C7F75" w:rsidSect="003861F1">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66"/>
    <w:rsid w:val="00065CAB"/>
    <w:rsid w:val="002E2366"/>
    <w:rsid w:val="003861F1"/>
    <w:rsid w:val="00542BF4"/>
    <w:rsid w:val="008C7F75"/>
    <w:rsid w:val="00A32510"/>
    <w:rsid w:val="00B4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3E95"/>
  <w15:chartTrackingRefBased/>
  <w15:docId w15:val="{7DB58513-790D-4B98-9979-7CF2102D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1F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4"/>
    <w:uiPriority w:val="99"/>
    <w:unhideWhenUsed/>
    <w:qFormat/>
    <w:rsid w:val="003861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3"/>
    <w:uiPriority w:val="99"/>
    <w:qFormat/>
    <w:locked/>
    <w:rsid w:val="003861F1"/>
    <w:rPr>
      <w:rFonts w:ascii="Times New Roman" w:eastAsia="Times New Roman" w:hAnsi="Times New Roman" w:cs="Times New Roman"/>
      <w:sz w:val="24"/>
      <w:szCs w:val="24"/>
      <w:lang w:val="uk-UA" w:eastAsia="uk-UA"/>
    </w:rPr>
  </w:style>
  <w:style w:type="paragraph" w:customStyle="1" w:styleId="rvps2">
    <w:name w:val="rvps2"/>
    <w:basedOn w:val="a"/>
    <w:qFormat/>
    <w:rsid w:val="003861F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1630</Words>
  <Characters>9294</Characters>
  <Application>Microsoft Office Word</Application>
  <DocSecurity>0</DocSecurity>
  <Lines>77</Lines>
  <Paragraphs>21</Paragraphs>
  <ScaleCrop>false</ScaleCrop>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buh1</cp:lastModifiedBy>
  <cp:revision>6</cp:revision>
  <dcterms:created xsi:type="dcterms:W3CDTF">2023-01-30T10:57:00Z</dcterms:created>
  <dcterms:modified xsi:type="dcterms:W3CDTF">2023-01-31T13:43:00Z</dcterms:modified>
</cp:coreProperties>
</file>