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C84005" w:rsidTr="00CD6245">
        <w:trPr>
          <w:jc w:val="right"/>
        </w:trPr>
        <w:tc>
          <w:tcPr>
            <w:tcW w:w="4700" w:type="dxa"/>
            <w:shd w:val="clear" w:color="auto" w:fill="auto"/>
          </w:tcPr>
          <w:p w:rsidR="00D87E7D" w:rsidRPr="00272F43" w:rsidRDefault="00272F43"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272F43">
              <w:rPr>
                <w:rFonts w:ascii="Times New Roman" w:eastAsia="Times New Roman" w:hAnsi="Times New Roman" w:cs="Times New Roman"/>
                <w:bCs/>
                <w:color w:val="000000"/>
                <w:sz w:val="24"/>
                <w:szCs w:val="24"/>
                <w:lang w:eastAsia="ru-RU"/>
              </w:rPr>
              <w:t>від «</w:t>
            </w:r>
            <w:r w:rsidR="00D31E07" w:rsidRPr="00272F43">
              <w:rPr>
                <w:rFonts w:ascii="Times New Roman" w:eastAsia="Times New Roman" w:hAnsi="Times New Roman" w:cs="Times New Roman"/>
                <w:bCs/>
                <w:color w:val="000000"/>
                <w:sz w:val="24"/>
                <w:szCs w:val="24"/>
                <w:lang w:eastAsia="ru-RU"/>
              </w:rPr>
              <w:t>2</w:t>
            </w:r>
            <w:r w:rsidRPr="00272F43">
              <w:rPr>
                <w:rFonts w:ascii="Times New Roman" w:eastAsia="Times New Roman" w:hAnsi="Times New Roman" w:cs="Times New Roman"/>
                <w:bCs/>
                <w:color w:val="000000"/>
                <w:sz w:val="24"/>
                <w:szCs w:val="24"/>
                <w:lang w:eastAsia="ru-RU"/>
              </w:rPr>
              <w:t>0</w:t>
            </w:r>
            <w:r w:rsidR="00D31E07" w:rsidRPr="00272F43">
              <w:rPr>
                <w:rFonts w:ascii="Times New Roman" w:eastAsia="Times New Roman" w:hAnsi="Times New Roman" w:cs="Times New Roman"/>
                <w:bCs/>
                <w:color w:val="000000"/>
                <w:sz w:val="24"/>
                <w:szCs w:val="24"/>
                <w:lang w:eastAsia="ru-RU"/>
              </w:rPr>
              <w:t>» лютого</w:t>
            </w:r>
            <w:r w:rsidR="00AE7639" w:rsidRPr="00272F43">
              <w:rPr>
                <w:rFonts w:ascii="Times New Roman" w:eastAsia="Times New Roman" w:hAnsi="Times New Roman" w:cs="Times New Roman"/>
                <w:bCs/>
                <w:color w:val="000000"/>
                <w:sz w:val="24"/>
                <w:szCs w:val="24"/>
                <w:lang w:eastAsia="ru-RU"/>
              </w:rPr>
              <w:t xml:space="preserve"> 2024</w:t>
            </w:r>
            <w:r w:rsidR="00D87E7D" w:rsidRPr="00272F43">
              <w:rPr>
                <w:rFonts w:ascii="Times New Roman" w:eastAsia="Times New Roman" w:hAnsi="Times New Roman" w:cs="Times New Roman"/>
                <w:bCs/>
                <w:color w:val="000000"/>
                <w:sz w:val="24"/>
                <w:szCs w:val="24"/>
                <w:lang w:eastAsia="ru-RU"/>
              </w:rPr>
              <w:t xml:space="preserve"> року, </w:t>
            </w:r>
          </w:p>
          <w:p w:rsidR="00D87E7D" w:rsidRPr="00C84005" w:rsidRDefault="00272F43"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sidRPr="00272F43">
              <w:rPr>
                <w:rFonts w:ascii="Times New Roman" w:eastAsia="Times New Roman" w:hAnsi="Times New Roman" w:cs="Times New Roman"/>
                <w:bCs/>
                <w:color w:val="000000"/>
                <w:sz w:val="24"/>
                <w:szCs w:val="24"/>
                <w:lang w:eastAsia="ru-RU"/>
              </w:rPr>
              <w:t>протокол №52</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D87E7D"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ТОВАРУ</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87E7D">
              <w:rPr>
                <w:rFonts w:ascii="Times New Roman" w:eastAsia="Times New Roman" w:hAnsi="Times New Roman" w:cs="Times New Roman"/>
                <w:b/>
                <w:bCs/>
                <w:kern w:val="32"/>
                <w:sz w:val="28"/>
                <w:szCs w:val="28"/>
                <w:lang w:eastAsia="ru-RU"/>
              </w:rPr>
              <w:t xml:space="preserve">ДК 021:2015 Єдиний закупівельний словник </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58415B" w:rsidRPr="008B0D36" w:rsidRDefault="00A806FB" w:rsidP="0058415B">
            <w:pPr>
              <w:pStyle w:val="3"/>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iCs/>
                <w:color w:val="000000"/>
                <w:sz w:val="32"/>
                <w:szCs w:val="32"/>
                <w:lang w:eastAsia="ru-RU" w:bidi="uk-UA"/>
              </w:rPr>
              <w:t xml:space="preserve"> </w:t>
            </w:r>
            <w:r w:rsidR="0058415B" w:rsidRPr="008B0D36">
              <w:rPr>
                <w:rFonts w:ascii="Times New Roman" w:eastAsia="Times New Roman" w:hAnsi="Times New Roman" w:cs="Times New Roman"/>
                <w:color w:val="auto"/>
                <w:sz w:val="28"/>
                <w:szCs w:val="28"/>
                <w:lang w:eastAsia="ru-RU"/>
              </w:rPr>
              <w:t xml:space="preserve">Сміттєвоз із заднім завантаженням СМБ на базі </w:t>
            </w:r>
            <w:r w:rsidR="0058415B" w:rsidRPr="008B0D36">
              <w:rPr>
                <w:rFonts w:ascii="Times New Roman" w:eastAsia="Times New Roman" w:hAnsi="Times New Roman" w:cs="Times New Roman"/>
                <w:color w:val="auto"/>
                <w:sz w:val="28"/>
                <w:szCs w:val="28"/>
                <w:lang w:val="en-US" w:eastAsia="ru-RU"/>
              </w:rPr>
              <w:t>MAN</w:t>
            </w:r>
            <w:r w:rsidR="0058415B" w:rsidRPr="008B0D36">
              <w:rPr>
                <w:rFonts w:ascii="Times New Roman" w:eastAsia="Times New Roman" w:hAnsi="Times New Roman" w:cs="Times New Roman"/>
                <w:color w:val="auto"/>
                <w:sz w:val="28"/>
                <w:szCs w:val="28"/>
                <w:lang w:eastAsia="ru-RU"/>
              </w:rPr>
              <w:t xml:space="preserve"> </w:t>
            </w:r>
            <w:r w:rsidR="0058415B" w:rsidRPr="008B0D36">
              <w:rPr>
                <w:rFonts w:ascii="Times New Roman" w:eastAsia="Times New Roman" w:hAnsi="Times New Roman" w:cs="Times New Roman"/>
                <w:color w:val="auto"/>
                <w:sz w:val="28"/>
                <w:szCs w:val="28"/>
                <w:lang w:val="en-US" w:eastAsia="ru-RU"/>
              </w:rPr>
              <w:t>TGM</w:t>
            </w:r>
            <w:r w:rsidR="0058415B" w:rsidRPr="008B0D36">
              <w:rPr>
                <w:rFonts w:ascii="Times New Roman" w:eastAsia="Times New Roman" w:hAnsi="Times New Roman" w:cs="Times New Roman"/>
                <w:color w:val="auto"/>
                <w:sz w:val="28"/>
                <w:szCs w:val="28"/>
                <w:lang w:eastAsia="ru-RU"/>
              </w:rPr>
              <w:t xml:space="preserve"> 18.290 4</w:t>
            </w:r>
            <w:r w:rsidR="0058415B" w:rsidRPr="008B0D36">
              <w:rPr>
                <w:rFonts w:ascii="Times New Roman" w:eastAsia="Times New Roman" w:hAnsi="Times New Roman" w:cs="Times New Roman"/>
                <w:color w:val="auto"/>
                <w:sz w:val="28"/>
                <w:szCs w:val="28"/>
                <w:lang w:eastAsia="en-US"/>
              </w:rPr>
              <w:t>х</w:t>
            </w:r>
            <w:r w:rsidR="0058415B" w:rsidRPr="008B0D36">
              <w:rPr>
                <w:rFonts w:ascii="Times New Roman" w:eastAsia="Times New Roman" w:hAnsi="Times New Roman" w:cs="Times New Roman"/>
                <w:color w:val="auto"/>
                <w:sz w:val="28"/>
                <w:szCs w:val="28"/>
                <w:lang w:eastAsia="ru-RU"/>
              </w:rPr>
              <w:t>4</w:t>
            </w:r>
            <w:r w:rsidR="00EE3972" w:rsidRPr="008B0D36">
              <w:rPr>
                <w:rFonts w:ascii="Times New Roman" w:eastAsia="Times New Roman" w:hAnsi="Times New Roman" w:cs="Times New Roman"/>
                <w:color w:val="auto"/>
                <w:sz w:val="28"/>
                <w:szCs w:val="28"/>
                <w:lang w:eastAsia="ru-RU"/>
              </w:rPr>
              <w:t xml:space="preserve"> (або еквівалент) </w:t>
            </w:r>
            <w:r w:rsidR="00D1470B" w:rsidRPr="008B0D36">
              <w:rPr>
                <w:rFonts w:ascii="Times New Roman" w:eastAsia="Times New Roman" w:hAnsi="Times New Roman" w:cs="Times New Roman"/>
                <w:color w:val="auto"/>
                <w:sz w:val="28"/>
                <w:szCs w:val="28"/>
                <w:lang w:eastAsia="ru-RU"/>
              </w:rPr>
              <w:t xml:space="preserve"> </w:t>
            </w:r>
            <w:r w:rsidR="00EE3972" w:rsidRPr="008B0D36">
              <w:rPr>
                <w:rFonts w:ascii="Times New Roman" w:eastAsia="Times New Roman" w:hAnsi="Times New Roman" w:cs="Times New Roman"/>
                <w:color w:val="auto"/>
                <w:sz w:val="28"/>
                <w:szCs w:val="28"/>
                <w:lang w:eastAsia="ru-RU"/>
              </w:rPr>
              <w:t>(ДК 021:2015 код 34140000-0 Велико</w:t>
            </w:r>
            <w:r w:rsidR="00F9647D" w:rsidRPr="008B0D36">
              <w:rPr>
                <w:rFonts w:ascii="Times New Roman" w:eastAsia="Times New Roman" w:hAnsi="Times New Roman" w:cs="Times New Roman"/>
                <w:color w:val="auto"/>
                <w:sz w:val="28"/>
                <w:szCs w:val="28"/>
                <w:lang w:eastAsia="ru-RU"/>
              </w:rPr>
              <w:t xml:space="preserve">вантажні </w:t>
            </w:r>
            <w:proofErr w:type="spellStart"/>
            <w:r w:rsidR="00F9647D" w:rsidRPr="008B0D36">
              <w:rPr>
                <w:rFonts w:ascii="Times New Roman" w:eastAsia="Times New Roman" w:hAnsi="Times New Roman" w:cs="Times New Roman"/>
                <w:color w:val="auto"/>
                <w:sz w:val="28"/>
                <w:szCs w:val="28"/>
                <w:lang w:eastAsia="ru-RU"/>
              </w:rPr>
              <w:t>мототранспортні</w:t>
            </w:r>
            <w:proofErr w:type="spellEnd"/>
            <w:r w:rsidR="00F9647D" w:rsidRPr="008B0D36">
              <w:rPr>
                <w:rFonts w:ascii="Times New Roman" w:eastAsia="Times New Roman" w:hAnsi="Times New Roman" w:cs="Times New Roman"/>
                <w:color w:val="auto"/>
                <w:sz w:val="28"/>
                <w:szCs w:val="28"/>
                <w:lang w:eastAsia="ru-RU"/>
              </w:rPr>
              <w:t xml:space="preserve"> засоби</w:t>
            </w:r>
            <w:r w:rsidR="008B0D36" w:rsidRPr="008B0D36">
              <w:rPr>
                <w:rFonts w:ascii="Times New Roman" w:eastAsia="Times New Roman" w:hAnsi="Times New Roman" w:cs="Times New Roman"/>
                <w:color w:val="auto"/>
                <w:sz w:val="28"/>
                <w:szCs w:val="28"/>
                <w:lang w:eastAsia="ru-RU"/>
              </w:rPr>
              <w:t xml:space="preserve"> - </w:t>
            </w:r>
            <w:r w:rsidR="008B0D36" w:rsidRPr="008B0D36">
              <w:rPr>
                <w:rFonts w:ascii="Times New Roman" w:hAnsi="Times New Roman" w:cs="Times New Roman"/>
                <w:color w:val="auto"/>
                <w:sz w:val="28"/>
                <w:szCs w:val="28"/>
              </w:rPr>
              <w:t>34144510-6 - Сміттєвози</w:t>
            </w:r>
            <w:r w:rsidR="0058415B" w:rsidRPr="008B0D36">
              <w:rPr>
                <w:rFonts w:ascii="Times New Roman" w:eastAsia="Times New Roman" w:hAnsi="Times New Roman" w:cs="Times New Roman"/>
                <w:color w:val="auto"/>
                <w:sz w:val="28"/>
                <w:szCs w:val="28"/>
                <w:lang w:eastAsia="ru-RU"/>
              </w:rPr>
              <w:t>)</w:t>
            </w:r>
          </w:p>
          <w:p w:rsidR="00D87E7D" w:rsidRPr="008B0D36" w:rsidRDefault="00D87E7D" w:rsidP="0058415B">
            <w:pPr>
              <w:spacing w:after="0" w:line="240" w:lineRule="auto"/>
              <w:jc w:val="center"/>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D87E7D"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430E02">
      <w:pP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EE3972" w:rsidRDefault="00EE3972" w:rsidP="00D1470B">
            <w:pPr>
              <w:pStyle w:val="3"/>
              <w:jc w:val="both"/>
              <w:outlineLvl w:val="2"/>
              <w:rPr>
                <w:rFonts w:ascii="Times New Roman" w:eastAsia="Times New Roman" w:hAnsi="Times New Roman" w:cs="Times New Roman"/>
                <w:b w:val="0"/>
                <w:color w:val="auto"/>
                <w:sz w:val="24"/>
                <w:szCs w:val="24"/>
                <w:lang w:eastAsia="ru-RU"/>
              </w:rPr>
            </w:pPr>
            <w:r w:rsidRPr="00EE3972">
              <w:rPr>
                <w:rFonts w:ascii="Times New Roman" w:eastAsia="Times New Roman" w:hAnsi="Times New Roman" w:cs="Times New Roman"/>
                <w:b w:val="0"/>
                <w:color w:val="auto"/>
                <w:sz w:val="24"/>
                <w:szCs w:val="24"/>
                <w:lang w:eastAsia="ru-RU"/>
              </w:rPr>
              <w:t xml:space="preserve">Сміттєвоз із заднім завантаженням СМБ на базі </w:t>
            </w:r>
            <w:r w:rsidRPr="00EE3972">
              <w:rPr>
                <w:rFonts w:ascii="Times New Roman" w:eastAsia="Times New Roman" w:hAnsi="Times New Roman" w:cs="Times New Roman"/>
                <w:b w:val="0"/>
                <w:color w:val="auto"/>
                <w:sz w:val="24"/>
                <w:szCs w:val="24"/>
                <w:lang w:val="en-US" w:eastAsia="ru-RU"/>
              </w:rPr>
              <w:t>MAN</w:t>
            </w:r>
            <w:r w:rsidRPr="00EE3972">
              <w:rPr>
                <w:rFonts w:ascii="Times New Roman" w:eastAsia="Times New Roman" w:hAnsi="Times New Roman" w:cs="Times New Roman"/>
                <w:b w:val="0"/>
                <w:color w:val="auto"/>
                <w:sz w:val="24"/>
                <w:szCs w:val="24"/>
                <w:lang w:eastAsia="ru-RU"/>
              </w:rPr>
              <w:t xml:space="preserve"> </w:t>
            </w:r>
            <w:r w:rsidRPr="00EE3972">
              <w:rPr>
                <w:rFonts w:ascii="Times New Roman" w:eastAsia="Times New Roman" w:hAnsi="Times New Roman" w:cs="Times New Roman"/>
                <w:b w:val="0"/>
                <w:color w:val="auto"/>
                <w:sz w:val="24"/>
                <w:szCs w:val="24"/>
                <w:lang w:val="en-US" w:eastAsia="ru-RU"/>
              </w:rPr>
              <w:t>TGM</w:t>
            </w:r>
            <w:r w:rsidRPr="00EE3972">
              <w:rPr>
                <w:rFonts w:ascii="Times New Roman" w:eastAsia="Times New Roman" w:hAnsi="Times New Roman" w:cs="Times New Roman"/>
                <w:b w:val="0"/>
                <w:color w:val="auto"/>
                <w:sz w:val="24"/>
                <w:szCs w:val="24"/>
                <w:lang w:eastAsia="ru-RU"/>
              </w:rPr>
              <w:t xml:space="preserve"> 18.290 4</w:t>
            </w:r>
            <w:r w:rsidRPr="00EE3972">
              <w:rPr>
                <w:rFonts w:ascii="Times New Roman" w:eastAsia="Times New Roman" w:hAnsi="Times New Roman" w:cs="Times New Roman"/>
                <w:b w:val="0"/>
                <w:color w:val="auto"/>
                <w:sz w:val="24"/>
                <w:szCs w:val="24"/>
                <w:lang w:eastAsia="en-US"/>
              </w:rPr>
              <w:t>х</w:t>
            </w:r>
            <w:r w:rsidRPr="00EE3972">
              <w:rPr>
                <w:rFonts w:ascii="Times New Roman" w:eastAsia="Times New Roman" w:hAnsi="Times New Roman" w:cs="Times New Roman"/>
                <w:b w:val="0"/>
                <w:color w:val="auto"/>
                <w:sz w:val="24"/>
                <w:szCs w:val="24"/>
                <w:lang w:eastAsia="ru-RU"/>
              </w:rPr>
              <w:t>4 (або еквівалент)  (ДК 021:2015 код 34140000-0 Великован</w:t>
            </w:r>
            <w:r w:rsidR="00F9647D">
              <w:rPr>
                <w:rFonts w:ascii="Times New Roman" w:eastAsia="Times New Roman" w:hAnsi="Times New Roman" w:cs="Times New Roman"/>
                <w:b w:val="0"/>
                <w:color w:val="auto"/>
                <w:sz w:val="24"/>
                <w:szCs w:val="24"/>
                <w:lang w:eastAsia="ru-RU"/>
              </w:rPr>
              <w:t xml:space="preserve">тажні </w:t>
            </w:r>
            <w:proofErr w:type="spellStart"/>
            <w:r w:rsidR="00F9647D">
              <w:rPr>
                <w:rFonts w:ascii="Times New Roman" w:eastAsia="Times New Roman" w:hAnsi="Times New Roman" w:cs="Times New Roman"/>
                <w:b w:val="0"/>
                <w:color w:val="auto"/>
                <w:sz w:val="24"/>
                <w:szCs w:val="24"/>
                <w:lang w:eastAsia="ru-RU"/>
              </w:rPr>
              <w:t>мототранспортні</w:t>
            </w:r>
            <w:proofErr w:type="spellEnd"/>
            <w:r w:rsidR="00F9647D">
              <w:rPr>
                <w:rFonts w:ascii="Times New Roman" w:eastAsia="Times New Roman" w:hAnsi="Times New Roman" w:cs="Times New Roman"/>
                <w:b w:val="0"/>
                <w:color w:val="auto"/>
                <w:sz w:val="24"/>
                <w:szCs w:val="24"/>
                <w:lang w:eastAsia="ru-RU"/>
              </w:rPr>
              <w:t xml:space="preserve"> засоби</w:t>
            </w:r>
            <w:r w:rsidRPr="00EE3972">
              <w:rPr>
                <w:rFonts w:ascii="Times New Roman" w:eastAsia="Times New Roman" w:hAnsi="Times New Roman" w:cs="Times New Roman"/>
                <w:b w:val="0"/>
                <w:bCs w:val="0"/>
                <w:color w:val="auto"/>
                <w:sz w:val="24"/>
                <w:szCs w:val="24"/>
              </w:rPr>
              <w:t xml:space="preserve"> </w:t>
            </w:r>
            <w:r w:rsidR="008B0D36">
              <w:rPr>
                <w:rFonts w:ascii="Times New Roman" w:eastAsia="Times New Roman" w:hAnsi="Times New Roman" w:cs="Times New Roman"/>
                <w:b w:val="0"/>
                <w:bCs w:val="0"/>
                <w:color w:val="auto"/>
                <w:sz w:val="24"/>
                <w:szCs w:val="24"/>
              </w:rPr>
              <w:t>-</w:t>
            </w:r>
            <w:r w:rsidR="008B0D36" w:rsidRPr="008B0D36">
              <w:rPr>
                <w:rFonts w:ascii="Times New Roman" w:hAnsi="Times New Roman" w:cs="Times New Roman"/>
                <w:b w:val="0"/>
                <w:color w:val="auto"/>
                <w:sz w:val="24"/>
                <w:szCs w:val="24"/>
              </w:rPr>
              <w:t>34144510-6 - Сміттєвози</w:t>
            </w:r>
            <w:r w:rsidRPr="00EE3972">
              <w:rPr>
                <w:rFonts w:ascii="Times New Roman" w:eastAsia="Times New Roman" w:hAnsi="Times New Roman" w:cs="Times New Roman"/>
                <w:b w:val="0"/>
                <w:color w:val="auto"/>
                <w:sz w:val="24"/>
                <w:szCs w:val="24"/>
                <w:lang w:eastAsia="ru-RU"/>
              </w:rPr>
              <w:t>)</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8279E4" w:rsidP="008279E4">
            <w:pPr>
              <w:jc w:val="both"/>
              <w:rPr>
                <w:rFonts w:ascii="Times New Roman" w:eastAsia="Arial Unicode MS" w:hAnsi="Times New Roman" w:cs="Times New Roman"/>
                <w:sz w:val="24"/>
                <w:szCs w:val="24"/>
                <w:lang w:eastAsia="ru-RU"/>
              </w:rPr>
            </w:pPr>
            <w:r w:rsidRPr="008279E4">
              <w:rPr>
                <w:rFonts w:ascii="Times New Roman" w:eastAsia="Arial Unicode MS" w:hAnsi="Times New Roman" w:cs="Times New Roman"/>
                <w:sz w:val="24"/>
                <w:szCs w:val="24"/>
                <w:lang w:eastAsia="ru-RU"/>
              </w:rPr>
              <w:t>Місце поставки товару:</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sidR="00F50D8A">
              <w:rPr>
                <w:rFonts w:ascii="Times New Roman" w:eastAsia="Times New Roman" w:hAnsi="Times New Roman" w:cs="Times New Roman"/>
                <w:bCs/>
                <w:color w:val="000000"/>
                <w:sz w:val="24"/>
                <w:szCs w:val="24"/>
                <w:lang w:eastAsia="en-US"/>
              </w:rPr>
              <w:t>йон, смт. Славське, вул. Устияновича,65Б</w:t>
            </w:r>
            <w:r w:rsidRPr="008279E4">
              <w:rPr>
                <w:rFonts w:ascii="Times New Roman" w:hAnsi="Times New Roman" w:cs="Times New Roman"/>
                <w:bCs/>
                <w:color w:val="000000"/>
                <w:sz w:val="24"/>
                <w:szCs w:val="24"/>
                <w:lang w:eastAsia="en-US"/>
              </w:rPr>
              <w:t xml:space="preserve">.  </w:t>
            </w:r>
          </w:p>
          <w:p w:rsidR="00E26CD3" w:rsidRPr="00D1470B"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r w:rsidR="00D1470B">
              <w:rPr>
                <w:rFonts w:ascii="Times New Roman" w:eastAsia="Times New Roman" w:hAnsi="Times New Roman" w:cs="Times New Roman"/>
                <w:sz w:val="24"/>
                <w:szCs w:val="24"/>
                <w:lang w:val="ru-RU" w:eastAsia="en-US"/>
              </w:rPr>
              <w:t>1 шт.</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sidRPr="0043365A">
              <w:rPr>
                <w:rFonts w:ascii="Times New Roman" w:hAnsi="Times New Roman" w:cs="Times New Roman"/>
                <w:color w:val="000000" w:themeColor="text1"/>
              </w:rPr>
              <w:t>3</w:t>
            </w:r>
            <w:r w:rsidR="0043365A" w:rsidRPr="0043365A">
              <w:rPr>
                <w:rFonts w:ascii="Times New Roman" w:hAnsi="Times New Roman" w:cs="Times New Roman"/>
                <w:color w:val="000000" w:themeColor="text1"/>
              </w:rPr>
              <w:t>0</w:t>
            </w:r>
            <w:r w:rsidR="009348B6" w:rsidRPr="0043365A">
              <w:rPr>
                <w:rFonts w:ascii="Times New Roman" w:hAnsi="Times New Roman" w:cs="Times New Roman"/>
                <w:color w:val="000000" w:themeColor="text1"/>
              </w:rPr>
              <w:t>.06</w:t>
            </w:r>
            <w:r w:rsidR="00621AAE" w:rsidRPr="0043365A">
              <w:rPr>
                <w:rFonts w:ascii="Times New Roman" w:hAnsi="Times New Roman" w:cs="Times New Roman"/>
                <w:color w:val="000000" w:themeColor="text1"/>
              </w:rPr>
              <w:t>.</w:t>
            </w:r>
            <w:r w:rsidR="005A7586" w:rsidRPr="0043365A">
              <w:rPr>
                <w:rFonts w:ascii="Times New Roman" w:hAnsi="Times New Roman" w:cs="Times New Roman"/>
                <w:color w:val="000000" w:themeColor="text1"/>
              </w:rPr>
              <w:t>2024</w:t>
            </w:r>
            <w:r w:rsidRPr="0043365A">
              <w:rPr>
                <w:rFonts w:ascii="Times New Roman" w:hAnsi="Times New Roman" w:cs="Times New Roman"/>
                <w:color w:val="000000" w:themeColor="text1"/>
              </w:rPr>
              <w:t xml:space="preserve"> року</w:t>
            </w:r>
            <w:r w:rsidRPr="000B6EEC">
              <w:rPr>
                <w:rFonts w:ascii="Times New Roman" w:hAnsi="Times New Roman" w:cs="Times New Roman"/>
                <w:color w:val="000000" w:themeColor="text1"/>
              </w:rPr>
              <w: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B6EEC">
              <w:rPr>
                <w:rFonts w:ascii="Times New Roman" w:eastAsia="Times New Roman" w:hAnsi="Times New Roman" w:cs="Times New Roman"/>
                <w:color w:val="000000" w:themeColor="text1"/>
              </w:rPr>
              <w:lastRenderedPageBreak/>
              <w:t>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w:t>
            </w:r>
            <w:r w:rsidRPr="000B6EEC">
              <w:rPr>
                <w:rFonts w:ascii="Times New Roman" w:hAnsi="Times New Roman"/>
                <w:color w:val="000000" w:themeColor="text1"/>
              </w:rPr>
              <w:lastRenderedPageBreak/>
              <w:t>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0B6EEC">
              <w:rPr>
                <w:rFonts w:ascii="Times New Roman" w:eastAsia="Times New Roman" w:hAnsi="Times New Roman"/>
                <w:color w:val="000000" w:themeColor="text1"/>
              </w:rPr>
              <w:lastRenderedPageBreak/>
              <w:t>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w:t>
            </w:r>
            <w:r w:rsidRPr="000B6EEC">
              <w:rPr>
                <w:rFonts w:ascii="Times New Roman" w:hAnsi="Times New Roman"/>
                <w:color w:val="000000" w:themeColor="text1"/>
              </w:rPr>
              <w:lastRenderedPageBreak/>
              <w:t xml:space="preserve">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0B6EEC">
              <w:rPr>
                <w:rFonts w:ascii="Times New Roman" w:hAnsi="Times New Roman" w:cs="Times New Roman"/>
                <w:color w:val="000000" w:themeColor="text1"/>
                <w:shd w:val="solid" w:color="FFFFFF" w:fill="FFFFFF"/>
                <w:lang w:eastAsia="en-US"/>
              </w:rPr>
              <w:lastRenderedPageBreak/>
              <w:t>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3E0EC4" w:rsidP="00AD74A8">
            <w:pPr>
              <w:widowControl w:val="0"/>
              <w:ind w:right="113" w:firstLine="388"/>
              <w:contextualSpacing/>
              <w:jc w:val="both"/>
              <w:rPr>
                <w:rFonts w:ascii="Times New Roman" w:hAnsi="Times New Roman"/>
                <w:color w:val="000000" w:themeColor="text1"/>
              </w:rPr>
            </w:pPr>
            <w:r>
              <w:rPr>
                <w:rFonts w:ascii="Times New Roman" w:hAnsi="Times New Roman"/>
                <w:color w:val="000000" w:themeColor="text1"/>
              </w:rPr>
              <w:t>Не застосовується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0B6EEC">
              <w:rPr>
                <w:rFonts w:ascii="Times New Roman" w:eastAsia="Times New Roman" w:hAnsi="Times New Roman" w:cs="Times New Roman"/>
                <w:b/>
                <w:color w:val="000000" w:themeColor="text1"/>
              </w:rPr>
              <w:t xml:space="preserve">до </w:t>
            </w:r>
            <w:r w:rsidR="00EE68C9" w:rsidRPr="002B3BBD">
              <w:rPr>
                <w:rFonts w:ascii="Times New Roman" w:eastAsia="Times New Roman" w:hAnsi="Times New Roman" w:cs="Times New Roman"/>
                <w:b/>
                <w:color w:val="000000" w:themeColor="text1"/>
                <w:lang w:val="ru-RU"/>
              </w:rPr>
              <w:t>28</w:t>
            </w:r>
            <w:r w:rsidR="00BF1B1C" w:rsidRPr="002B3BBD">
              <w:rPr>
                <w:rFonts w:ascii="Times New Roman" w:eastAsia="Times New Roman" w:hAnsi="Times New Roman" w:cs="Times New Roman"/>
                <w:b/>
                <w:color w:val="000000" w:themeColor="text1"/>
                <w:lang w:val="ru-RU"/>
              </w:rPr>
              <w:t>.0</w:t>
            </w:r>
            <w:r w:rsidR="00EE68C9" w:rsidRPr="002B3BBD">
              <w:rPr>
                <w:rFonts w:ascii="Times New Roman" w:eastAsia="Times New Roman" w:hAnsi="Times New Roman" w:cs="Times New Roman"/>
                <w:b/>
                <w:color w:val="000000" w:themeColor="text1"/>
                <w:lang w:val="ru-RU"/>
              </w:rPr>
              <w:t>2</w:t>
            </w:r>
            <w:r w:rsidR="00CE307E" w:rsidRPr="002B3BBD">
              <w:rPr>
                <w:rFonts w:ascii="Times New Roman" w:eastAsia="Times New Roman" w:hAnsi="Times New Roman" w:cs="Times New Roman"/>
                <w:b/>
                <w:color w:val="000000" w:themeColor="text1"/>
              </w:rPr>
              <w:t>.2024</w:t>
            </w:r>
            <w:bookmarkStart w:id="2" w:name="_GoBack"/>
            <w:bookmarkEnd w:id="2"/>
            <w:r w:rsidRPr="000B6EEC">
              <w:rPr>
                <w:rFonts w:ascii="Times New Roman" w:eastAsia="Times New Roman" w:hAnsi="Times New Roman" w:cs="Times New Roman"/>
                <w:b/>
                <w:color w:val="000000" w:themeColor="text1"/>
              </w:rPr>
              <w:t xml:space="preserve"> року (</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 xml:space="preserve"> год</w:t>
            </w:r>
            <w:r w:rsidR="008A0E99">
              <w:rPr>
                <w:rFonts w:ascii="Times New Roman" w:eastAsia="Times New Roman" w:hAnsi="Times New Roman" w:cs="Times New Roman"/>
                <w:b/>
                <w:color w:val="000000" w:themeColor="text1"/>
              </w:rPr>
              <w:t>.</w:t>
            </w:r>
            <w:r w:rsidRPr="000B6EEC">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B6EEC">
              <w:rPr>
                <w:rFonts w:ascii="Times New Roman" w:eastAsia="Times New Roman" w:hAnsi="Times New Roman" w:cs="Times New Roman"/>
                <w:color w:val="000000" w:themeColor="text1"/>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3"/>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B6EEC">
              <w:rPr>
                <w:rFonts w:ascii="Times New Roman" w:eastAsia="Times New Roman" w:hAnsi="Times New Roman" w:cs="Times New Roman"/>
                <w:color w:val="000000" w:themeColor="text1"/>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727AF2">
              <w:rPr>
                <w:rFonts w:ascii="Times New Roman" w:eastAsia="Times New Roman" w:hAnsi="Times New Roman" w:cs="Times New Roman"/>
                <w:color w:val="000000" w:themeColor="text1"/>
              </w:rPr>
              <w:t>– 1</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0B6EEC">
              <w:rPr>
                <w:rFonts w:ascii="Times New Roman" w:eastAsia="Times New Roman" w:hAnsi="Times New Roman" w:cs="Times New Roman"/>
                <w:color w:val="000000" w:themeColor="text1"/>
              </w:rPr>
              <w:lastRenderedPageBreak/>
              <w:t xml:space="preserve">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EC3583" w:rsidRDefault="004E5496" w:rsidP="004E5496">
            <w:pPr>
              <w:widowControl w:val="0"/>
              <w:ind w:right="120"/>
              <w:jc w:val="both"/>
              <w:rPr>
                <w:rStyle w:val="aa"/>
                <w:rFonts w:ascii="Times New Roman" w:hAnsi="Times New Roman"/>
              </w:rPr>
            </w:pPr>
            <w:r w:rsidRPr="000B6EEC">
              <w:rPr>
                <w:rFonts w:ascii="Times New Roman" w:eastAsia="Times New Roman" w:hAnsi="Times New Roman" w:cs="Times New Roman"/>
                <w:color w:val="000000" w:themeColor="text1"/>
              </w:rPr>
              <w:t xml:space="preserve">2.1. </w:t>
            </w:r>
            <w:r w:rsidR="0004727F" w:rsidRPr="00EC3583">
              <w:rPr>
                <w:rStyle w:val="aa"/>
                <w:rFonts w:ascii="Times New Roman" w:hAnsi="Times New Roman"/>
              </w:rPr>
              <w:t>З</w:t>
            </w:r>
            <w:r w:rsidR="001A16BD" w:rsidRPr="00EC3583">
              <w:rPr>
                <w:rStyle w:val="aa"/>
                <w:rFonts w:ascii="Times New Roman" w:hAnsi="Times New Roman"/>
              </w:rPr>
              <w:t>амовникам забороняється здійснювати публічні закупівлі товарів, робіт і послуг у громадян</w:t>
            </w:r>
            <w:r w:rsidR="00EC3583" w:rsidRPr="00EC3583">
              <w:rPr>
                <w:rStyle w:val="aa"/>
                <w:rFonts w:ascii="Times New Roman" w:hAnsi="Times New Roman"/>
              </w:rPr>
              <w:t xml:space="preserve">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C3583" w:rsidRPr="00EC3583">
              <w:rPr>
                <w:rStyle w:val="aa"/>
                <w:rFonts w:ascii="Times New Roman" w:hAnsi="Times New Roman"/>
              </w:rPr>
              <w:t>бенефіціарним</w:t>
            </w:r>
            <w:proofErr w:type="spellEnd"/>
            <w:r w:rsidR="00EC3583" w:rsidRPr="00EC3583">
              <w:rPr>
                <w:rStyle w:val="aa"/>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C3583" w:rsidRPr="00EC3583">
              <w:rPr>
                <w:rStyle w:val="aa"/>
                <w:rFonts w:ascii="Times New Roman" w:hAnsi="Times New Roman"/>
              </w:rPr>
              <w:t>закупівель</w:t>
            </w:r>
            <w:proofErr w:type="spellEnd"/>
            <w:r w:rsidR="00EC3583" w:rsidRPr="00EC3583">
              <w:rPr>
                <w:rStyle w:val="aa"/>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16BD" w:rsidRPr="00EC3583">
              <w:rPr>
                <w:rStyle w:val="aa"/>
                <w:rFonts w:ascii="Times New Roman" w:hAnsi="Times New Roman"/>
              </w:rPr>
              <w:t>.</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w:t>
            </w:r>
            <w:r w:rsidR="00727AF2">
              <w:rPr>
                <w:rFonts w:ascii="Times New Roman" w:eastAsia="Times New Roman" w:hAnsi="Times New Roman" w:cs="Times New Roman"/>
                <w:color w:val="000000" w:themeColor="text1"/>
              </w:rPr>
              <w:t>акупівлю, викладеним у Додатку 4</w:t>
            </w:r>
            <w:r w:rsidRPr="000B6EEC">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w:t>
            </w:r>
            <w:r w:rsidRPr="000B6EEC">
              <w:rPr>
                <w:rFonts w:ascii="Times New Roman" w:eastAsia="Times New Roman" w:hAnsi="Times New Roman" w:cs="Times New Roman"/>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w:t>
            </w:r>
            <w:r w:rsidR="00ED188A" w:rsidRPr="00ED188A">
              <w:rPr>
                <w:rFonts w:ascii="Times New Roman" w:eastAsia="Times New Roman" w:hAnsi="Times New Roman" w:cs="Times New Roman"/>
                <w:sz w:val="24"/>
                <w:szCs w:val="24"/>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ED188A" w:rsidRPr="00ED188A">
              <w:rPr>
                <w:rFonts w:ascii="Times New Roman" w:eastAsia="Times New Roman" w:hAnsi="Times New Roman" w:cs="Times New Roman"/>
                <w:sz w:val="24"/>
                <w:szCs w:val="24"/>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D188A" w:rsidRPr="00ED188A">
              <w:rPr>
                <w:rFonts w:ascii="Times New Roman" w:eastAsia="Times New Roman" w:hAnsi="Times New Roman" w:cs="Times New Roman"/>
                <w:sz w:val="24"/>
                <w:szCs w:val="24"/>
              </w:rPr>
              <w:t>бенефіціарним</w:t>
            </w:r>
            <w:proofErr w:type="spellEnd"/>
            <w:r w:rsidR="00ED188A" w:rsidRPr="00ED188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D188A" w:rsidRPr="00ED188A">
              <w:rPr>
                <w:rFonts w:ascii="Times New Roman" w:eastAsia="Times New Roman" w:hAnsi="Times New Roman" w:cs="Times New Roman"/>
                <w:sz w:val="24"/>
                <w:szCs w:val="24"/>
              </w:rPr>
              <w:t>закупівель</w:t>
            </w:r>
            <w:proofErr w:type="spellEnd"/>
            <w:r w:rsidR="00ED188A" w:rsidRPr="00ED188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w:t>
            </w:r>
            <w:r w:rsidRPr="000B6EEC">
              <w:rPr>
                <w:rFonts w:ascii="Times New Roman" w:eastAsia="Times New Roman" w:hAnsi="Times New Roman" w:cs="Times New Roman"/>
                <w:color w:val="000000" w:themeColor="text1"/>
                <w:highlight w:val="white"/>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0B6EEC">
              <w:rPr>
                <w:rFonts w:ascii="Times New Roman" w:hAnsi="Times New Roman" w:cs="Times New Roman"/>
                <w:color w:val="000000" w:themeColor="text1"/>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5"/>
            <w:bookmarkEnd w:id="4"/>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6"/>
            <w:bookmarkEnd w:id="5"/>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7"/>
            <w:bookmarkEnd w:id="6"/>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8"/>
            <w:bookmarkEnd w:id="7"/>
            <w:r w:rsidRPr="000B6EEC">
              <w:rPr>
                <w:color w:val="000000" w:themeColor="text1"/>
                <w:sz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9"/>
            <w:bookmarkEnd w:id="8"/>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0"/>
            <w:bookmarkEnd w:id="9"/>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1"/>
            <w:bookmarkEnd w:id="10"/>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727AF2" w:rsidRPr="00727AF2" w:rsidRDefault="00727AF2" w:rsidP="00727AF2">
            <w:pPr>
              <w:shd w:val="clear" w:color="auto" w:fill="FFFFFF"/>
              <w:spacing w:after="150"/>
              <w:ind w:firstLine="450"/>
              <w:jc w:val="both"/>
              <w:rPr>
                <w:rFonts w:ascii="Times New Roman" w:eastAsia="Times New Roman" w:hAnsi="Times New Roman" w:cs="Times New Roman"/>
                <w:color w:val="333333"/>
                <w:sz w:val="24"/>
                <w:szCs w:val="24"/>
              </w:rPr>
            </w:pPr>
            <w:r w:rsidRPr="00727AF2">
              <w:rPr>
                <w:rFonts w:ascii="Times New Roman" w:eastAsia="Times New Roman"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727AF2">
                <w:rPr>
                  <w:rFonts w:ascii="Times New Roman" w:eastAsia="Times New Roman" w:hAnsi="Times New Roman" w:cs="Times New Roman"/>
                  <w:color w:val="0000FF"/>
                  <w:sz w:val="24"/>
                  <w:szCs w:val="24"/>
                  <w:u w:val="single"/>
                </w:rPr>
                <w:t>№ 382</w:t>
              </w:r>
            </w:hyperlink>
            <w:r w:rsidRPr="00727AF2">
              <w:rPr>
                <w:rFonts w:ascii="Times New Roman" w:eastAsia="Times New Roman" w:hAnsi="Times New Roman" w:cs="Times New Roman"/>
                <w:color w:val="333333"/>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001"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E23FA"/>
    <w:rsid w:val="000E2D2A"/>
    <w:rsid w:val="000F2127"/>
    <w:rsid w:val="000F798E"/>
    <w:rsid w:val="000F7E8B"/>
    <w:rsid w:val="00105A87"/>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2F43"/>
    <w:rsid w:val="00274555"/>
    <w:rsid w:val="0027710C"/>
    <w:rsid w:val="00285633"/>
    <w:rsid w:val="00295533"/>
    <w:rsid w:val="002A0B5F"/>
    <w:rsid w:val="002B3BBD"/>
    <w:rsid w:val="002B47F1"/>
    <w:rsid w:val="002D0DE7"/>
    <w:rsid w:val="002D65C7"/>
    <w:rsid w:val="002E2E4A"/>
    <w:rsid w:val="002E699F"/>
    <w:rsid w:val="002E7087"/>
    <w:rsid w:val="003050B2"/>
    <w:rsid w:val="0030725F"/>
    <w:rsid w:val="0032296E"/>
    <w:rsid w:val="0032705F"/>
    <w:rsid w:val="0033227C"/>
    <w:rsid w:val="003537A6"/>
    <w:rsid w:val="0037150D"/>
    <w:rsid w:val="00373BFA"/>
    <w:rsid w:val="0038519B"/>
    <w:rsid w:val="00385BD8"/>
    <w:rsid w:val="003B4BA3"/>
    <w:rsid w:val="003B7323"/>
    <w:rsid w:val="003C6331"/>
    <w:rsid w:val="003E0EC4"/>
    <w:rsid w:val="00412A26"/>
    <w:rsid w:val="00430E02"/>
    <w:rsid w:val="0043365A"/>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8415B"/>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B3709"/>
    <w:rsid w:val="006C4E35"/>
    <w:rsid w:val="006F4E9B"/>
    <w:rsid w:val="007026FF"/>
    <w:rsid w:val="00711E30"/>
    <w:rsid w:val="00715A25"/>
    <w:rsid w:val="00721B00"/>
    <w:rsid w:val="00725505"/>
    <w:rsid w:val="00727AF2"/>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0D36"/>
    <w:rsid w:val="008B46C2"/>
    <w:rsid w:val="008C731D"/>
    <w:rsid w:val="008D3EB1"/>
    <w:rsid w:val="008D4EE2"/>
    <w:rsid w:val="008E4974"/>
    <w:rsid w:val="008E7A67"/>
    <w:rsid w:val="008F4924"/>
    <w:rsid w:val="008F649D"/>
    <w:rsid w:val="00906035"/>
    <w:rsid w:val="00907029"/>
    <w:rsid w:val="00914B98"/>
    <w:rsid w:val="009236F3"/>
    <w:rsid w:val="0093060F"/>
    <w:rsid w:val="009348B6"/>
    <w:rsid w:val="0096177A"/>
    <w:rsid w:val="009734DD"/>
    <w:rsid w:val="00985D77"/>
    <w:rsid w:val="00986867"/>
    <w:rsid w:val="009A635A"/>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66924"/>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84005"/>
    <w:rsid w:val="00C96817"/>
    <w:rsid w:val="00CA125C"/>
    <w:rsid w:val="00CC40FE"/>
    <w:rsid w:val="00CD7711"/>
    <w:rsid w:val="00CE307E"/>
    <w:rsid w:val="00CE3512"/>
    <w:rsid w:val="00CE6A49"/>
    <w:rsid w:val="00D07C77"/>
    <w:rsid w:val="00D11AFE"/>
    <w:rsid w:val="00D13D98"/>
    <w:rsid w:val="00D1470B"/>
    <w:rsid w:val="00D31E07"/>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6D2D"/>
    <w:rsid w:val="00EC22F6"/>
    <w:rsid w:val="00EC3583"/>
    <w:rsid w:val="00ED120F"/>
    <w:rsid w:val="00ED188A"/>
    <w:rsid w:val="00EE3972"/>
    <w:rsid w:val="00EE68C9"/>
    <w:rsid w:val="00EF4261"/>
    <w:rsid w:val="00F0452A"/>
    <w:rsid w:val="00F147BF"/>
    <w:rsid w:val="00F15C72"/>
    <w:rsid w:val="00F3306F"/>
    <w:rsid w:val="00F45C4C"/>
    <w:rsid w:val="00F50D8A"/>
    <w:rsid w:val="00F54FD3"/>
    <w:rsid w:val="00F60EAF"/>
    <w:rsid w:val="00F76427"/>
    <w:rsid w:val="00F82B6D"/>
    <w:rsid w:val="00F86E3B"/>
    <w:rsid w:val="00F87C5C"/>
    <w:rsid w:val="00F9647D"/>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3">
    <w:name w:val="heading 3"/>
    <w:basedOn w:val="a"/>
    <w:next w:val="a"/>
    <w:link w:val="30"/>
    <w:uiPriority w:val="9"/>
    <w:unhideWhenUsed/>
    <w:qFormat/>
    <w:rsid w:val="005841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1">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 w:type="character" w:customStyle="1" w:styleId="30">
    <w:name w:val="Заголовок 3 Знак"/>
    <w:basedOn w:val="a0"/>
    <w:link w:val="3"/>
    <w:uiPriority w:val="9"/>
    <w:rsid w:val="0058415B"/>
    <w:rPr>
      <w:rFonts w:asciiTheme="majorHAnsi" w:eastAsiaTheme="majorEastAsia" w:hAnsiTheme="majorHAnsi" w:cstheme="majorBidi"/>
      <w:b/>
      <w:bCs/>
      <w:color w:val="5B9BD5" w:themeColor="accent1"/>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1738-C364-4877-8FC4-FDB42B4B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38073</Words>
  <Characters>21703</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39</cp:revision>
  <dcterms:created xsi:type="dcterms:W3CDTF">2023-09-05T13:48:00Z</dcterms:created>
  <dcterms:modified xsi:type="dcterms:W3CDTF">2024-02-19T14:34:00Z</dcterms:modified>
</cp:coreProperties>
</file>