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1"/>
      </w:tblGrid>
      <w:tr w:rsidR="008C0714" w:rsidRPr="008C0714" w:rsidTr="008C0714">
        <w:tc>
          <w:tcPr>
            <w:tcW w:w="1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0714" w:rsidRPr="008C0714" w:rsidRDefault="008C0714" w:rsidP="008C0714">
            <w:pPr>
              <w:spacing w:before="250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2770" cy="763270"/>
                  <wp:effectExtent l="1905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714" w:rsidRPr="008C0714" w:rsidTr="008C0714">
        <w:tc>
          <w:tcPr>
            <w:tcW w:w="1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0714" w:rsidRPr="008C0714" w:rsidRDefault="008C0714" w:rsidP="008C0714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14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НАЦІОНАЛЬНА КОМІ</w:t>
            </w:r>
            <w:proofErr w:type="gramStart"/>
            <w:r w:rsidRPr="008C0714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С</w:t>
            </w:r>
            <w:proofErr w:type="gramEnd"/>
            <w:r w:rsidRPr="008C0714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ІЯ, ЩО ЗДІЙСНЮЄ ДЕРЖАВНЕ РЕГУЛЮВАННЯ У СФЕРАХ ЕНЕРГЕТИКИ ТА КОМУНАЛЬНИХ ПОСЛУГ</w:t>
            </w:r>
          </w:p>
        </w:tc>
      </w:tr>
      <w:tr w:rsidR="008C0714" w:rsidRPr="008C0714" w:rsidTr="008C0714">
        <w:tc>
          <w:tcPr>
            <w:tcW w:w="1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0714" w:rsidRPr="008C0714" w:rsidRDefault="008C0714" w:rsidP="008C0714">
            <w:pPr>
              <w:spacing w:before="250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14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ПОСТАНОВА</w:t>
            </w:r>
          </w:p>
        </w:tc>
      </w:tr>
      <w:tr w:rsidR="008C0714" w:rsidRPr="008C0714" w:rsidTr="008C0714">
        <w:tc>
          <w:tcPr>
            <w:tcW w:w="1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ind w:left="376"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19.10.2017  № 1268</w:t>
            </w:r>
          </w:p>
        </w:tc>
      </w:tr>
    </w:tbl>
    <w:p w:rsidR="008C0714" w:rsidRPr="008C0714" w:rsidRDefault="008C0714" w:rsidP="008C0714">
      <w:pPr>
        <w:shd w:val="clear" w:color="auto" w:fill="FFFFFF"/>
        <w:spacing w:before="250" w:after="376" w:line="240" w:lineRule="auto"/>
        <w:ind w:left="376" w:right="376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0" w:name="n3"/>
      <w:bookmarkEnd w:id="0"/>
      <w:r w:rsidRPr="008C0714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Про </w:t>
      </w:r>
      <w:proofErr w:type="spellStart"/>
      <w:r w:rsidRPr="008C0714">
        <w:rPr>
          <w:rFonts w:ascii="Times New Roman" w:eastAsia="Times New Roman" w:hAnsi="Times New Roman" w:cs="Times New Roman"/>
          <w:b/>
          <w:bCs/>
          <w:color w:val="333333"/>
          <w:sz w:val="32"/>
        </w:rPr>
        <w:t>затвердження</w:t>
      </w:r>
      <w:proofErr w:type="spellEnd"/>
      <w:r w:rsidRPr="008C0714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Порядку </w:t>
      </w:r>
      <w:proofErr w:type="spellStart"/>
      <w:r w:rsidRPr="008C0714">
        <w:rPr>
          <w:rFonts w:ascii="Times New Roman" w:eastAsia="Times New Roman" w:hAnsi="Times New Roman" w:cs="Times New Roman"/>
          <w:b/>
          <w:bCs/>
          <w:color w:val="333333"/>
          <w:sz w:val="32"/>
        </w:rPr>
        <w:t>складання</w:t>
      </w:r>
      <w:proofErr w:type="spellEnd"/>
      <w:r w:rsidRPr="008C0714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та </w:t>
      </w:r>
      <w:proofErr w:type="spellStart"/>
      <w:r w:rsidRPr="008C0714">
        <w:rPr>
          <w:rFonts w:ascii="Times New Roman" w:eastAsia="Times New Roman" w:hAnsi="Times New Roman" w:cs="Times New Roman"/>
          <w:b/>
          <w:bCs/>
          <w:color w:val="333333"/>
          <w:sz w:val="32"/>
        </w:rPr>
        <w:t>ведення</w:t>
      </w:r>
      <w:proofErr w:type="spellEnd"/>
      <w:r w:rsidRPr="008C0714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НКРЕКП </w:t>
      </w:r>
      <w:proofErr w:type="spellStart"/>
      <w:r w:rsidRPr="008C0714">
        <w:rPr>
          <w:rFonts w:ascii="Times New Roman" w:eastAsia="Times New Roman" w:hAnsi="Times New Roman" w:cs="Times New Roman"/>
          <w:b/>
          <w:bCs/>
          <w:color w:val="333333"/>
          <w:sz w:val="32"/>
        </w:rPr>
        <w:t>реєстру</w:t>
      </w:r>
      <w:proofErr w:type="spellEnd"/>
      <w:r w:rsidRPr="008C0714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b/>
          <w:bCs/>
          <w:color w:val="333333"/>
          <w:sz w:val="32"/>
        </w:rPr>
        <w:t>суб’єктів</w:t>
      </w:r>
      <w:proofErr w:type="spellEnd"/>
      <w:r w:rsidRPr="008C0714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b/>
          <w:bCs/>
          <w:color w:val="333333"/>
          <w:sz w:val="32"/>
        </w:rPr>
        <w:t>природних</w:t>
      </w:r>
      <w:proofErr w:type="spellEnd"/>
      <w:r w:rsidRPr="008C0714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b/>
          <w:bCs/>
          <w:color w:val="333333"/>
          <w:sz w:val="32"/>
        </w:rPr>
        <w:t>монополій</w:t>
      </w:r>
      <w:proofErr w:type="spellEnd"/>
    </w:p>
    <w:p w:rsidR="008C0714" w:rsidRPr="008C0714" w:rsidRDefault="008C0714" w:rsidP="008C0714">
      <w:pPr>
        <w:shd w:val="clear" w:color="auto" w:fill="FFFFFF"/>
        <w:spacing w:before="125" w:after="250" w:line="240" w:lineRule="auto"/>
        <w:ind w:left="376" w:right="376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" w:name="n39"/>
      <w:bookmarkEnd w:id="1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{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Із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змінами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внесеними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згідно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з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Постановою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Національної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комісії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що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здійснює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державне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регулювання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gram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у</w:t>
      </w:r>
      <w:proofErr w:type="gram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сферах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енергетики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та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комунальних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послуг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hyperlink r:id="rId5" w:anchor="n2" w:tgtFrame="_blank" w:history="1"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№ 876 </w:t>
        </w:r>
        <w:proofErr w:type="spellStart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від</w:t>
        </w:r>
        <w:proofErr w:type="spellEnd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31.05.2019</w:t>
        </w:r>
      </w:hyperlink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}</w:t>
      </w:r>
    </w:p>
    <w:p w:rsidR="008C0714" w:rsidRPr="008C0714" w:rsidRDefault="008C0714" w:rsidP="008C0714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" w:name="n4"/>
      <w:bookmarkEnd w:id="2"/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Відповідно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gram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до</w:t>
      </w:r>
      <w:proofErr w:type="gram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законів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України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hyperlink r:id="rId6" w:tgtFrame="_blank" w:history="1"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«Про </w:t>
        </w:r>
        <w:proofErr w:type="spellStart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Національну</w:t>
        </w:r>
        <w:proofErr w:type="spellEnd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комісію</w:t>
        </w:r>
        <w:proofErr w:type="spellEnd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, </w:t>
        </w:r>
        <w:proofErr w:type="spellStart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що</w:t>
        </w:r>
        <w:proofErr w:type="spellEnd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здійснює</w:t>
        </w:r>
        <w:proofErr w:type="spellEnd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державне</w:t>
        </w:r>
        <w:proofErr w:type="spellEnd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регулювання</w:t>
        </w:r>
        <w:proofErr w:type="spellEnd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у сферах </w:t>
        </w:r>
        <w:proofErr w:type="spellStart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енергетики</w:t>
        </w:r>
        <w:proofErr w:type="spellEnd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та </w:t>
        </w:r>
        <w:proofErr w:type="spellStart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комунальних</w:t>
        </w:r>
        <w:proofErr w:type="spellEnd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послуг</w:t>
        </w:r>
        <w:proofErr w:type="spellEnd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»</w:t>
        </w:r>
      </w:hyperlink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, </w:t>
      </w:r>
      <w:hyperlink r:id="rId7" w:tgtFrame="_blank" w:history="1"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«Про </w:t>
        </w:r>
        <w:proofErr w:type="spellStart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державне</w:t>
        </w:r>
        <w:proofErr w:type="spellEnd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регулювання</w:t>
        </w:r>
        <w:proofErr w:type="spellEnd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у </w:t>
        </w:r>
        <w:proofErr w:type="spellStart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сфері</w:t>
        </w:r>
        <w:proofErr w:type="spellEnd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комунальних</w:t>
        </w:r>
        <w:proofErr w:type="spellEnd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послуг</w:t>
        </w:r>
        <w:proofErr w:type="spellEnd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»</w:t>
        </w:r>
      </w:hyperlink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Національна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комісія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що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здійснює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державне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регулювання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у сферах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енергетики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та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комунальних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послуг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, </w:t>
      </w:r>
      <w:r w:rsidRPr="008C0714">
        <w:rPr>
          <w:rFonts w:ascii="Times New Roman" w:eastAsia="Times New Roman" w:hAnsi="Times New Roman" w:cs="Times New Roman"/>
          <w:b/>
          <w:bCs/>
          <w:color w:val="333333"/>
          <w:spacing w:val="25"/>
          <w:sz w:val="24"/>
          <w:szCs w:val="24"/>
        </w:rPr>
        <w:t>ПОСТАНОВЛЯЄ:</w:t>
      </w:r>
    </w:p>
    <w:p w:rsidR="008C0714" w:rsidRPr="008C0714" w:rsidRDefault="008C0714" w:rsidP="008C0714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3" w:name="n5"/>
      <w:bookmarkEnd w:id="3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1.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Затвердити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hyperlink r:id="rId8" w:anchor="n10" w:history="1">
        <w:r w:rsidRPr="008C071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Порядок </w:t>
        </w:r>
        <w:proofErr w:type="spellStart"/>
        <w:r w:rsidRPr="008C071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складання</w:t>
        </w:r>
        <w:proofErr w:type="spellEnd"/>
        <w:r w:rsidRPr="008C071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та </w:t>
        </w:r>
        <w:proofErr w:type="spellStart"/>
        <w:r w:rsidRPr="008C071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ведення</w:t>
        </w:r>
        <w:proofErr w:type="spellEnd"/>
        <w:r w:rsidRPr="008C071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proofErr w:type="spellStart"/>
        <w:r w:rsidRPr="008C071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Національною</w:t>
        </w:r>
        <w:proofErr w:type="spellEnd"/>
        <w:r w:rsidRPr="008C071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proofErr w:type="spellStart"/>
        <w:r w:rsidRPr="008C071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комісією</w:t>
        </w:r>
        <w:proofErr w:type="spellEnd"/>
        <w:r w:rsidRPr="008C071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, </w:t>
        </w:r>
        <w:proofErr w:type="spellStart"/>
        <w:r w:rsidRPr="008C071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що</w:t>
        </w:r>
        <w:proofErr w:type="spellEnd"/>
        <w:r w:rsidRPr="008C071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proofErr w:type="spellStart"/>
        <w:r w:rsidRPr="008C071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здійснює</w:t>
        </w:r>
        <w:proofErr w:type="spellEnd"/>
        <w:r w:rsidRPr="008C071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proofErr w:type="spellStart"/>
        <w:r w:rsidRPr="008C071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державне</w:t>
        </w:r>
        <w:proofErr w:type="spellEnd"/>
        <w:r w:rsidRPr="008C071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proofErr w:type="spellStart"/>
        <w:r w:rsidRPr="008C071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регулювання</w:t>
        </w:r>
        <w:proofErr w:type="spellEnd"/>
        <w:r w:rsidRPr="008C071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у </w:t>
        </w:r>
        <w:proofErr w:type="gramStart"/>
        <w:r w:rsidRPr="008C071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сферах</w:t>
        </w:r>
        <w:proofErr w:type="gramEnd"/>
        <w:r w:rsidRPr="008C071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proofErr w:type="spellStart"/>
        <w:r w:rsidRPr="008C071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енергетики</w:t>
        </w:r>
        <w:proofErr w:type="spellEnd"/>
        <w:r w:rsidRPr="008C071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та </w:t>
        </w:r>
        <w:proofErr w:type="spellStart"/>
        <w:r w:rsidRPr="008C071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комунальних</w:t>
        </w:r>
        <w:proofErr w:type="spellEnd"/>
        <w:r w:rsidRPr="008C071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proofErr w:type="spellStart"/>
        <w:r w:rsidRPr="008C071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послуг</w:t>
        </w:r>
        <w:proofErr w:type="spellEnd"/>
        <w:r w:rsidRPr="008C071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, </w:t>
        </w:r>
        <w:proofErr w:type="spellStart"/>
        <w:r w:rsidRPr="008C071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реєстру</w:t>
        </w:r>
        <w:proofErr w:type="spellEnd"/>
        <w:r w:rsidRPr="008C071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proofErr w:type="spellStart"/>
        <w:r w:rsidRPr="008C071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суб'єктів</w:t>
        </w:r>
        <w:proofErr w:type="spellEnd"/>
        <w:r w:rsidRPr="008C071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proofErr w:type="spellStart"/>
        <w:r w:rsidRPr="008C071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природних</w:t>
        </w:r>
        <w:proofErr w:type="spellEnd"/>
        <w:r w:rsidRPr="008C071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proofErr w:type="spellStart"/>
        <w:r w:rsidRPr="008C071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монополій</w:t>
        </w:r>
        <w:proofErr w:type="spellEnd"/>
      </w:hyperlink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що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додається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8C0714" w:rsidRPr="008C0714" w:rsidRDefault="008C0714" w:rsidP="008C0714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4" w:name="n6"/>
      <w:bookmarkEnd w:id="4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2.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Визнати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gram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такою</w:t>
      </w:r>
      <w:proofErr w:type="gram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що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втратила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чинність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, </w:t>
      </w:r>
      <w:hyperlink r:id="rId9" w:tgtFrame="_blank" w:history="1"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постанову </w:t>
        </w:r>
        <w:proofErr w:type="spellStart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Національної</w:t>
        </w:r>
        <w:proofErr w:type="spellEnd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комісії</w:t>
        </w:r>
        <w:proofErr w:type="spellEnd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, </w:t>
        </w:r>
        <w:proofErr w:type="spellStart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що</w:t>
        </w:r>
        <w:proofErr w:type="spellEnd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здійснює</w:t>
        </w:r>
        <w:proofErr w:type="spellEnd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державне</w:t>
        </w:r>
        <w:proofErr w:type="spellEnd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регулювання</w:t>
        </w:r>
        <w:proofErr w:type="spellEnd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у сферах </w:t>
        </w:r>
        <w:proofErr w:type="spellStart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енергетики</w:t>
        </w:r>
        <w:proofErr w:type="spellEnd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та </w:t>
        </w:r>
        <w:proofErr w:type="spellStart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комунальних</w:t>
        </w:r>
        <w:proofErr w:type="spellEnd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послуг</w:t>
        </w:r>
        <w:proofErr w:type="spellEnd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, </w:t>
        </w:r>
        <w:proofErr w:type="spellStart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від</w:t>
        </w:r>
        <w:proofErr w:type="spellEnd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19 </w:t>
        </w:r>
        <w:proofErr w:type="spellStart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березня</w:t>
        </w:r>
        <w:proofErr w:type="spellEnd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2015 року № 826</w:t>
        </w:r>
      </w:hyperlink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«Про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затвердження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Порядку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складання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та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ведення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НКРЕКП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реєстру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суб’єктів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природних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монополій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»,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зареєстровану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Міністерстві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юстиції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України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03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квітня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2015 року за № 372/26817 (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зі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змінами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).</w:t>
      </w:r>
    </w:p>
    <w:p w:rsidR="008C0714" w:rsidRPr="008C0714" w:rsidRDefault="008C0714" w:rsidP="008C0714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5" w:name="n7"/>
      <w:bookmarkEnd w:id="5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3.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Ця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постанова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набирає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чинності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з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дня,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наступного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за днем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її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опублікування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офіційному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друкованому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виданні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газеті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«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Урядовий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кур’є</w:t>
      </w:r>
      <w:proofErr w:type="gram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р</w:t>
      </w:r>
      <w:proofErr w:type="spellEnd"/>
      <w:proofErr w:type="gram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».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32"/>
        <w:gridCol w:w="5429"/>
      </w:tblGrid>
      <w:tr w:rsidR="008C0714" w:rsidRPr="008C0714" w:rsidTr="008C0714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0714" w:rsidRPr="008C0714" w:rsidRDefault="008C0714" w:rsidP="008C0714">
            <w:pPr>
              <w:spacing w:before="250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n8"/>
            <w:bookmarkEnd w:id="6"/>
            <w:r w:rsidRPr="008C0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Голова НКРЕКП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0714" w:rsidRPr="008C0714" w:rsidRDefault="008C0714" w:rsidP="008C0714">
            <w:pPr>
              <w:spacing w:before="2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 Вовк</w:t>
            </w:r>
          </w:p>
        </w:tc>
      </w:tr>
    </w:tbl>
    <w:p w:rsidR="008C0714" w:rsidRPr="008C0714" w:rsidRDefault="008C0714" w:rsidP="008C0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n36"/>
      <w:bookmarkEnd w:id="7"/>
      <w:r w:rsidRPr="008C0714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17"/>
        <w:gridCol w:w="3744"/>
      </w:tblGrid>
      <w:tr w:rsidR="008C0714" w:rsidRPr="008C0714" w:rsidTr="008C0714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n9"/>
            <w:bookmarkEnd w:id="8"/>
            <w:r w:rsidRPr="008C0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0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Постанова НКРЕКП</w:t>
            </w:r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0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19.10.2017 № 1268</w:t>
            </w:r>
          </w:p>
        </w:tc>
      </w:tr>
    </w:tbl>
    <w:p w:rsidR="008C0714" w:rsidRPr="008C0714" w:rsidRDefault="008C0714" w:rsidP="008C0714">
      <w:pPr>
        <w:shd w:val="clear" w:color="auto" w:fill="FFFFFF"/>
        <w:spacing w:before="250" w:after="376" w:line="240" w:lineRule="auto"/>
        <w:ind w:left="376" w:right="376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9" w:name="n10"/>
      <w:bookmarkEnd w:id="9"/>
      <w:r w:rsidRPr="008C0714">
        <w:rPr>
          <w:rFonts w:ascii="Times New Roman" w:eastAsia="Times New Roman" w:hAnsi="Times New Roman" w:cs="Times New Roman"/>
          <w:b/>
          <w:bCs/>
          <w:color w:val="333333"/>
          <w:sz w:val="32"/>
        </w:rPr>
        <w:t>ПОРЯДОК</w:t>
      </w:r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proofErr w:type="spellStart"/>
      <w:r w:rsidRPr="008C0714">
        <w:rPr>
          <w:rFonts w:ascii="Times New Roman" w:eastAsia="Times New Roman" w:hAnsi="Times New Roman" w:cs="Times New Roman"/>
          <w:b/>
          <w:bCs/>
          <w:color w:val="333333"/>
          <w:sz w:val="32"/>
        </w:rPr>
        <w:t>складання</w:t>
      </w:r>
      <w:proofErr w:type="spellEnd"/>
      <w:r w:rsidRPr="008C0714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та </w:t>
      </w:r>
      <w:proofErr w:type="spellStart"/>
      <w:r w:rsidRPr="008C0714">
        <w:rPr>
          <w:rFonts w:ascii="Times New Roman" w:eastAsia="Times New Roman" w:hAnsi="Times New Roman" w:cs="Times New Roman"/>
          <w:b/>
          <w:bCs/>
          <w:color w:val="333333"/>
          <w:sz w:val="32"/>
        </w:rPr>
        <w:t>ведення</w:t>
      </w:r>
      <w:proofErr w:type="spellEnd"/>
      <w:r w:rsidRPr="008C0714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b/>
          <w:bCs/>
          <w:color w:val="333333"/>
          <w:sz w:val="32"/>
        </w:rPr>
        <w:t>Національною</w:t>
      </w:r>
      <w:proofErr w:type="spellEnd"/>
      <w:r w:rsidRPr="008C0714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b/>
          <w:bCs/>
          <w:color w:val="333333"/>
          <w:sz w:val="32"/>
        </w:rPr>
        <w:t>комісією</w:t>
      </w:r>
      <w:proofErr w:type="spellEnd"/>
      <w:r w:rsidRPr="008C0714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, </w:t>
      </w:r>
      <w:proofErr w:type="spellStart"/>
      <w:r w:rsidRPr="008C0714">
        <w:rPr>
          <w:rFonts w:ascii="Times New Roman" w:eastAsia="Times New Roman" w:hAnsi="Times New Roman" w:cs="Times New Roman"/>
          <w:b/>
          <w:bCs/>
          <w:color w:val="333333"/>
          <w:sz w:val="32"/>
        </w:rPr>
        <w:t>що</w:t>
      </w:r>
      <w:proofErr w:type="spellEnd"/>
      <w:r w:rsidRPr="008C0714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b/>
          <w:bCs/>
          <w:color w:val="333333"/>
          <w:sz w:val="32"/>
        </w:rPr>
        <w:t>здійснює</w:t>
      </w:r>
      <w:proofErr w:type="spellEnd"/>
      <w:r w:rsidRPr="008C0714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b/>
          <w:bCs/>
          <w:color w:val="333333"/>
          <w:sz w:val="32"/>
        </w:rPr>
        <w:t>державне</w:t>
      </w:r>
      <w:proofErr w:type="spellEnd"/>
      <w:r w:rsidRPr="008C0714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b/>
          <w:bCs/>
          <w:color w:val="333333"/>
          <w:sz w:val="32"/>
        </w:rPr>
        <w:t>регулювання</w:t>
      </w:r>
      <w:proofErr w:type="spellEnd"/>
      <w:r w:rsidRPr="008C0714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у </w:t>
      </w:r>
      <w:proofErr w:type="gramStart"/>
      <w:r w:rsidRPr="008C0714">
        <w:rPr>
          <w:rFonts w:ascii="Times New Roman" w:eastAsia="Times New Roman" w:hAnsi="Times New Roman" w:cs="Times New Roman"/>
          <w:b/>
          <w:bCs/>
          <w:color w:val="333333"/>
          <w:sz w:val="32"/>
        </w:rPr>
        <w:t>сферах</w:t>
      </w:r>
      <w:proofErr w:type="gramEnd"/>
      <w:r w:rsidRPr="008C0714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b/>
          <w:bCs/>
          <w:color w:val="333333"/>
          <w:sz w:val="32"/>
        </w:rPr>
        <w:t>енергетики</w:t>
      </w:r>
      <w:proofErr w:type="spellEnd"/>
      <w:r w:rsidRPr="008C0714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та </w:t>
      </w:r>
      <w:proofErr w:type="spellStart"/>
      <w:r w:rsidRPr="008C0714">
        <w:rPr>
          <w:rFonts w:ascii="Times New Roman" w:eastAsia="Times New Roman" w:hAnsi="Times New Roman" w:cs="Times New Roman"/>
          <w:b/>
          <w:bCs/>
          <w:color w:val="333333"/>
          <w:sz w:val="32"/>
        </w:rPr>
        <w:t>комунальних</w:t>
      </w:r>
      <w:proofErr w:type="spellEnd"/>
      <w:r w:rsidRPr="008C0714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b/>
          <w:bCs/>
          <w:color w:val="333333"/>
          <w:sz w:val="32"/>
        </w:rPr>
        <w:t>послуг</w:t>
      </w:r>
      <w:proofErr w:type="spellEnd"/>
      <w:r w:rsidRPr="008C0714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, </w:t>
      </w:r>
      <w:proofErr w:type="spellStart"/>
      <w:r w:rsidRPr="008C0714">
        <w:rPr>
          <w:rFonts w:ascii="Times New Roman" w:eastAsia="Times New Roman" w:hAnsi="Times New Roman" w:cs="Times New Roman"/>
          <w:b/>
          <w:bCs/>
          <w:color w:val="333333"/>
          <w:sz w:val="32"/>
        </w:rPr>
        <w:t>реєстру</w:t>
      </w:r>
      <w:proofErr w:type="spellEnd"/>
      <w:r w:rsidRPr="008C0714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b/>
          <w:bCs/>
          <w:color w:val="333333"/>
          <w:sz w:val="32"/>
        </w:rPr>
        <w:t>суб'єктів</w:t>
      </w:r>
      <w:proofErr w:type="spellEnd"/>
      <w:r w:rsidRPr="008C0714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b/>
          <w:bCs/>
          <w:color w:val="333333"/>
          <w:sz w:val="32"/>
        </w:rPr>
        <w:t>природних</w:t>
      </w:r>
      <w:proofErr w:type="spellEnd"/>
      <w:r w:rsidRPr="008C0714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b/>
          <w:bCs/>
          <w:color w:val="333333"/>
          <w:sz w:val="32"/>
        </w:rPr>
        <w:t>монополій</w:t>
      </w:r>
      <w:proofErr w:type="spellEnd"/>
    </w:p>
    <w:p w:rsidR="008C0714" w:rsidRPr="008C0714" w:rsidRDefault="008C0714" w:rsidP="008C0714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0" w:name="n11"/>
      <w:bookmarkEnd w:id="10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1.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Національна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комісія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що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здійснює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державне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регулювання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у сферах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енергетики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та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комунальних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послуг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складає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та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веде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реє</w:t>
      </w:r>
      <w:proofErr w:type="gram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стр</w:t>
      </w:r>
      <w:proofErr w:type="spellEnd"/>
      <w:proofErr w:type="gram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суб'єктів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природних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монополій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які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провадять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господарську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діяльність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у сферах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енергетики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та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комунальних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послуг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форма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якого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наведена в 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fldChar w:fldCharType="begin"/>
      </w:r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instrText xml:space="preserve"> HYPERLINK "https://zakon.rada.gov.ua/laws/show/v1268874-17" \l "n29" </w:instrText>
      </w:r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fldChar w:fldCharType="separate"/>
      </w:r>
      <w:r w:rsidRPr="008C0714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додатку</w:t>
      </w:r>
      <w:proofErr w:type="spellEnd"/>
      <w:r w:rsidRPr="008C0714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1</w:t>
      </w:r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fldChar w:fldCharType="end"/>
      </w:r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до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цього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Порядку (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далі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Реєстр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).</w:t>
      </w:r>
    </w:p>
    <w:p w:rsidR="008C0714" w:rsidRPr="008C0714" w:rsidRDefault="008C0714" w:rsidP="008C0714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1" w:name="n12"/>
      <w:bookmarkEnd w:id="11"/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Реє</w:t>
      </w:r>
      <w:proofErr w:type="gram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стр</w:t>
      </w:r>
      <w:proofErr w:type="spellEnd"/>
      <w:proofErr w:type="gram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складається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та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ведеться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щодо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суб'єктів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господарювання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які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відповідно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до </w:t>
      </w:r>
      <w:hyperlink r:id="rId10" w:tgtFrame="_blank" w:history="1"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Закону </w:t>
        </w:r>
        <w:proofErr w:type="spellStart"/>
        <w:r w:rsidRPr="008C071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України</w:t>
        </w:r>
        <w:proofErr w:type="spellEnd"/>
      </w:hyperlink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«Про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природні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монополії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»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провадять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діяльність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з:</w:t>
      </w:r>
    </w:p>
    <w:p w:rsidR="008C0714" w:rsidRPr="008C0714" w:rsidRDefault="008C0714" w:rsidP="008C0714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2" w:name="n13"/>
      <w:bookmarkEnd w:id="12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1)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транспортування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нафти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і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нафтопродукті</w:t>
      </w:r>
      <w:proofErr w:type="gram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в</w:t>
      </w:r>
      <w:proofErr w:type="spellEnd"/>
      <w:proofErr w:type="gram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трубопроводами;</w:t>
      </w:r>
    </w:p>
    <w:p w:rsidR="008C0714" w:rsidRPr="008C0714" w:rsidRDefault="008C0714" w:rsidP="008C0714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3" w:name="n14"/>
      <w:bookmarkEnd w:id="13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2)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транспортування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gram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природного</w:t>
      </w:r>
      <w:proofErr w:type="gram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і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нафтового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газу трубопроводами;</w:t>
      </w:r>
    </w:p>
    <w:p w:rsidR="008C0714" w:rsidRPr="008C0714" w:rsidRDefault="008C0714" w:rsidP="008C0714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4" w:name="n15"/>
      <w:bookmarkEnd w:id="14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3)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розподілу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gram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природного</w:t>
      </w:r>
      <w:proofErr w:type="gram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і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нафтового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газу трубопроводами;</w:t>
      </w:r>
    </w:p>
    <w:p w:rsidR="008C0714" w:rsidRPr="008C0714" w:rsidRDefault="008C0714" w:rsidP="008C0714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5" w:name="n16"/>
      <w:bookmarkEnd w:id="15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4)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зберігання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природного газу в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обсягах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що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перевищують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proofErr w:type="gram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р</w:t>
      </w:r>
      <w:proofErr w:type="gram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івень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який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встановлюється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умовами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та правилами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здійснення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підприємницької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діяльності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зі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зберігання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природного газу (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ліцензійними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умовами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);</w:t>
      </w:r>
    </w:p>
    <w:p w:rsidR="008C0714" w:rsidRPr="008C0714" w:rsidRDefault="008C0714" w:rsidP="008C0714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6" w:name="n17"/>
      <w:bookmarkEnd w:id="16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5)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передачі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електричної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енергії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;</w:t>
      </w:r>
    </w:p>
    <w:p w:rsidR="008C0714" w:rsidRPr="008C0714" w:rsidRDefault="008C0714" w:rsidP="008C0714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7" w:name="n18"/>
      <w:bookmarkEnd w:id="17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6)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розподілу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електричної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енергії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(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передачі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електричної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енергії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місцевими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(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локальними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)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електромережами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);</w:t>
      </w:r>
    </w:p>
    <w:p w:rsidR="008C0714" w:rsidRPr="008C0714" w:rsidRDefault="008C0714" w:rsidP="008C0714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8" w:name="n19"/>
      <w:bookmarkEnd w:id="18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7)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централізованого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водопостачання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та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водовідведення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;</w:t>
      </w:r>
    </w:p>
    <w:p w:rsidR="008C0714" w:rsidRPr="008C0714" w:rsidRDefault="008C0714" w:rsidP="008C0714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9" w:name="n20"/>
      <w:bookmarkEnd w:id="19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8)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транспортування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теплової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енергії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;</w:t>
      </w:r>
    </w:p>
    <w:p w:rsidR="008C0714" w:rsidRPr="008C0714" w:rsidRDefault="008C0714" w:rsidP="008C0714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</w:pPr>
      <w:bookmarkStart w:id="20" w:name="n21"/>
      <w:bookmarkEnd w:id="20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{</w:t>
      </w:r>
      <w:proofErr w:type="spellStart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Підпункт</w:t>
      </w:r>
      <w:proofErr w:type="spellEnd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9 пункту 1 </w:t>
      </w:r>
      <w:proofErr w:type="spellStart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виключено</w:t>
      </w:r>
      <w:proofErr w:type="spellEnd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на </w:t>
      </w:r>
      <w:proofErr w:type="spellStart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підстав</w:t>
      </w:r>
      <w:proofErr w:type="gramStart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і</w:t>
      </w:r>
      <w:proofErr w:type="spellEnd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П</w:t>
      </w:r>
      <w:proofErr w:type="gramEnd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останови </w:t>
      </w:r>
      <w:proofErr w:type="spellStart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Національної</w:t>
      </w:r>
      <w:proofErr w:type="spellEnd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комісії</w:t>
      </w:r>
      <w:proofErr w:type="spellEnd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що</w:t>
      </w:r>
      <w:proofErr w:type="spellEnd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здійснює</w:t>
      </w:r>
      <w:proofErr w:type="spellEnd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державне</w:t>
      </w:r>
      <w:proofErr w:type="spellEnd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регулювання</w:t>
      </w:r>
      <w:proofErr w:type="spellEnd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у сферах </w:t>
      </w:r>
      <w:proofErr w:type="spellStart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енергетики</w:t>
      </w:r>
      <w:proofErr w:type="spellEnd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та </w:t>
      </w:r>
      <w:proofErr w:type="spellStart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комунальних</w:t>
      </w:r>
      <w:proofErr w:type="spellEnd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послуг</w:t>
      </w:r>
      <w:proofErr w:type="spellEnd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hyperlink r:id="rId11" w:anchor="n6" w:tgtFrame="_blank" w:history="1">
        <w:r w:rsidRPr="008C0714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 xml:space="preserve">№ 876 </w:t>
        </w:r>
        <w:proofErr w:type="spellStart"/>
        <w:r w:rsidRPr="008C0714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від</w:t>
        </w:r>
        <w:proofErr w:type="spellEnd"/>
        <w:r w:rsidRPr="008C0714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 xml:space="preserve"> 31.05.2019</w:t>
        </w:r>
      </w:hyperlink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}</w:t>
      </w:r>
    </w:p>
    <w:p w:rsidR="008C0714" w:rsidRPr="008C0714" w:rsidRDefault="008C0714" w:rsidP="008C0714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1" w:name="n22"/>
      <w:bookmarkEnd w:id="21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9)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транспортування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аміаку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магістральними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трубопроводами.</w:t>
      </w:r>
    </w:p>
    <w:p w:rsidR="008C0714" w:rsidRPr="008C0714" w:rsidRDefault="008C0714" w:rsidP="008C0714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2" w:name="n23"/>
      <w:bookmarkEnd w:id="22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2. До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Реєстру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вносяться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відомості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про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суб'єктів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природних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монополій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які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отримали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ліцензії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на право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провадження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господарської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діяльності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у сферах,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визначених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у </w:t>
      </w:r>
      <w:proofErr w:type="spellStart"/>
      <w:proofErr w:type="gram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п</w:t>
      </w:r>
      <w:proofErr w:type="gram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ідпунктах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1 - 9 пункту 1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цього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Порядку,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державне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регулювання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діяльності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яких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здійснюється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НКРЕКП,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обласними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Київською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міською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державними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адміністраціями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або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яким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встановлено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тариф на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транспортування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аміаку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магістральними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трубопроводами.</w:t>
      </w:r>
    </w:p>
    <w:p w:rsidR="008C0714" w:rsidRPr="008C0714" w:rsidRDefault="008C0714" w:rsidP="008C0714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3" w:name="n40"/>
      <w:bookmarkEnd w:id="23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{Пункт 2 </w:t>
      </w:r>
      <w:proofErr w:type="spellStart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із</w:t>
      </w:r>
      <w:proofErr w:type="spellEnd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змінами</w:t>
      </w:r>
      <w:proofErr w:type="spellEnd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внесеними</w:t>
      </w:r>
      <w:proofErr w:type="spellEnd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згідно</w:t>
      </w:r>
      <w:proofErr w:type="spellEnd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</w:t>
      </w:r>
      <w:proofErr w:type="spellEnd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Постановою</w:t>
      </w:r>
      <w:proofErr w:type="spellEnd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Національної</w:t>
      </w:r>
      <w:proofErr w:type="spellEnd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комісії</w:t>
      </w:r>
      <w:proofErr w:type="spellEnd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що</w:t>
      </w:r>
      <w:proofErr w:type="spellEnd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здійснює</w:t>
      </w:r>
      <w:proofErr w:type="spellEnd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державне</w:t>
      </w:r>
      <w:proofErr w:type="spellEnd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регулювання</w:t>
      </w:r>
      <w:proofErr w:type="spellEnd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gramStart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</w:t>
      </w:r>
      <w:proofErr w:type="gramEnd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сферах </w:t>
      </w:r>
      <w:proofErr w:type="spellStart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енергетики</w:t>
      </w:r>
      <w:proofErr w:type="spellEnd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та </w:t>
      </w:r>
      <w:proofErr w:type="spellStart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комунальних</w:t>
      </w:r>
      <w:proofErr w:type="spellEnd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послуг</w:t>
      </w:r>
      <w:proofErr w:type="spellEnd"/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hyperlink r:id="rId12" w:anchor="n8" w:tgtFrame="_blank" w:history="1">
        <w:r w:rsidRPr="008C0714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 xml:space="preserve">№ 876 </w:t>
        </w:r>
        <w:proofErr w:type="spellStart"/>
        <w:r w:rsidRPr="008C0714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від</w:t>
        </w:r>
        <w:proofErr w:type="spellEnd"/>
        <w:r w:rsidRPr="008C0714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 xml:space="preserve"> 31.05.2019</w:t>
        </w:r>
      </w:hyperlink>
      <w:r w:rsidRPr="008C07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}</w:t>
      </w:r>
    </w:p>
    <w:p w:rsidR="008C0714" w:rsidRPr="008C0714" w:rsidRDefault="008C0714" w:rsidP="008C0714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4" w:name="n24"/>
      <w:bookmarkEnd w:id="24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3.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Внесення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до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Реєстру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відомостей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про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суб'єктів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природних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монополій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які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провадять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господарську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діяльність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у сферах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централізованого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водопостачання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та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водовідведення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транспортування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теплової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енергії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відповідно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до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ліцензій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виданих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обласними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Київською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міською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державними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адміністраціями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здійснюється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на </w:t>
      </w:r>
      <w:proofErr w:type="spellStart"/>
      <w:proofErr w:type="gram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п</w:t>
      </w:r>
      <w:proofErr w:type="gram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ідставі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інформації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наданої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до НКРЕКП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обласними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Київською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міською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державними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адміністраціями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за формою,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наведеною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 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fldChar w:fldCharType="begin"/>
      </w:r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instrText xml:space="preserve"> HYPERLINK "https://zakon.rada.gov.ua/laws/show/v1268874-17" \l "n32" </w:instrText>
      </w:r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fldChar w:fldCharType="separate"/>
      </w:r>
      <w:r w:rsidRPr="008C0714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додатку</w:t>
      </w:r>
      <w:proofErr w:type="spellEnd"/>
      <w:r w:rsidRPr="008C0714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2</w:t>
      </w:r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fldChar w:fldCharType="end"/>
      </w:r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до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цього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Порядку, не </w:t>
      </w:r>
      <w:proofErr w:type="spellStart"/>
      <w:proofErr w:type="gram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п</w:t>
      </w:r>
      <w:proofErr w:type="gram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ізніше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5 числа кожного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місяця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8C0714" w:rsidRPr="008C0714" w:rsidRDefault="008C0714" w:rsidP="008C0714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5" w:name="n25"/>
      <w:bookmarkEnd w:id="25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4.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Відомості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щодо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суб'єктів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природних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монополій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які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провадять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господарську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діяльність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gram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у</w:t>
      </w:r>
      <w:proofErr w:type="gram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сферах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енергетики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та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комунальних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послуг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вносяться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НКРЕКП до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Реєстру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станом на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останнє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число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звітного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місяця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8C0714" w:rsidRPr="008C0714" w:rsidRDefault="008C0714" w:rsidP="008C0714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6" w:name="n26"/>
      <w:bookmarkEnd w:id="26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5.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Реє</w:t>
      </w:r>
      <w:proofErr w:type="gram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стр</w:t>
      </w:r>
      <w:proofErr w:type="spellEnd"/>
      <w:proofErr w:type="gram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розміщується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щомісяця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не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пізніше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7 числа на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офіційному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веб-сайті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НКРЕКП (http://www.nerc.gov.ua/),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відомості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з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якого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щомісяця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до 10 числа на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електронних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та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паперових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носіях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подаються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до Антимонопольного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комітету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України</w:t>
      </w:r>
      <w:proofErr w:type="spell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32"/>
        <w:gridCol w:w="5429"/>
      </w:tblGrid>
      <w:tr w:rsidR="008C0714" w:rsidRPr="008C0714" w:rsidTr="008C0714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0714" w:rsidRPr="008C0714" w:rsidRDefault="008C0714" w:rsidP="008C0714">
            <w:pPr>
              <w:spacing w:before="250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n27"/>
            <w:bookmarkEnd w:id="27"/>
            <w:r w:rsidRPr="008C0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Начальник</w:t>
            </w:r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C0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Управління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ліцензування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0714" w:rsidRPr="008C0714" w:rsidRDefault="008C0714" w:rsidP="008C0714">
            <w:pPr>
              <w:spacing w:before="2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0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Ю. Антонюк</w:t>
            </w:r>
          </w:p>
        </w:tc>
      </w:tr>
    </w:tbl>
    <w:p w:rsidR="008C0714" w:rsidRPr="008C0714" w:rsidRDefault="008C0714" w:rsidP="008C0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8" w:name="n37"/>
      <w:bookmarkEnd w:id="28"/>
      <w:r w:rsidRPr="008C0714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8C0714" w:rsidRPr="008C0714" w:rsidTr="008C0714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n28"/>
            <w:bookmarkEnd w:id="29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Порядку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НКРЕКП</w:t>
            </w:r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суб'єктів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природних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монополій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(пункт 1)</w:t>
            </w:r>
          </w:p>
        </w:tc>
      </w:tr>
    </w:tbl>
    <w:p w:rsidR="008C0714" w:rsidRPr="008C0714" w:rsidRDefault="008C0714" w:rsidP="008C0714">
      <w:pPr>
        <w:shd w:val="clear" w:color="auto" w:fill="FFFFFF"/>
        <w:spacing w:before="125" w:after="125" w:line="240" w:lineRule="auto"/>
        <w:ind w:left="376" w:right="376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30" w:name="n29"/>
      <w:bookmarkEnd w:id="30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lastRenderedPageBreak/>
        <w:t>РЕЄ</w:t>
      </w:r>
      <w:proofErr w:type="gramStart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>СТР</w:t>
      </w:r>
      <w:proofErr w:type="gramEnd"/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proofErr w:type="spellStart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>суб'єктів</w:t>
      </w:r>
      <w:proofErr w:type="spellEnd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>природних</w:t>
      </w:r>
      <w:proofErr w:type="spellEnd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>монополій</w:t>
      </w:r>
      <w:proofErr w:type="spellEnd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, </w:t>
      </w:r>
      <w:proofErr w:type="spellStart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>які</w:t>
      </w:r>
      <w:proofErr w:type="spellEnd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>провадять</w:t>
      </w:r>
      <w:proofErr w:type="spellEnd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>господарську</w:t>
      </w:r>
      <w:proofErr w:type="spellEnd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>діяльність</w:t>
      </w:r>
      <w:proofErr w:type="spellEnd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у сферах </w:t>
      </w:r>
      <w:proofErr w:type="spellStart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>енергетики</w:t>
      </w:r>
      <w:proofErr w:type="spellEnd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та </w:t>
      </w:r>
      <w:proofErr w:type="spellStart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>комунальних</w:t>
      </w:r>
      <w:proofErr w:type="spellEnd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>послуг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58"/>
        <w:gridCol w:w="1513"/>
        <w:gridCol w:w="1513"/>
        <w:gridCol w:w="1568"/>
        <w:gridCol w:w="844"/>
        <w:gridCol w:w="653"/>
        <w:gridCol w:w="1513"/>
        <w:gridCol w:w="1513"/>
      </w:tblGrid>
      <w:tr w:rsidR="008C0714" w:rsidRPr="008C0714" w:rsidTr="008C0714">
        <w:trPr>
          <w:trHeight w:val="285"/>
        </w:trPr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n30"/>
            <w:bookmarkEnd w:id="31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ЄДРПОУ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суб'єкта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суб'єкта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суб'єкта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господарської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провадиться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суб'єктом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</w:p>
        </w:tc>
        <w:tc>
          <w:tcPr>
            <w:tcW w:w="10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Територія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господарської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суб'єктом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</w:p>
        </w:tc>
      </w:tr>
      <w:tr w:rsidR="008C0714" w:rsidRPr="008C0714" w:rsidTr="008C0714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714" w:rsidRPr="008C0714" w:rsidRDefault="008C0714" w:rsidP="008C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714" w:rsidRPr="008C0714" w:rsidRDefault="008C0714" w:rsidP="008C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714" w:rsidRPr="008C0714" w:rsidRDefault="008C0714" w:rsidP="008C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адміністративно-територіальна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</w:t>
            </w:r>
            <w:proofErr w:type="spellEnd"/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поштова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адреса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індекс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714" w:rsidRPr="008C0714" w:rsidTr="008C0714">
        <w:trPr>
          <w:trHeight w:val="285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0714" w:rsidRPr="008C0714" w:rsidTr="008C0714">
        <w:trPr>
          <w:trHeight w:val="285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714" w:rsidRPr="008C0714" w:rsidTr="008C0714">
        <w:trPr>
          <w:trHeight w:val="15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8C0714" w:rsidRPr="008C0714" w:rsidRDefault="008C0714" w:rsidP="008C0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2" w:name="n38"/>
      <w:bookmarkEnd w:id="32"/>
      <w:r w:rsidRPr="008C0714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8C0714" w:rsidRPr="008C0714" w:rsidTr="008C0714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n31"/>
            <w:bookmarkEnd w:id="33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Порядку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НКРЕКП</w:t>
            </w:r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суб'єктів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природних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монополій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(пункт 3)</w:t>
            </w:r>
          </w:p>
        </w:tc>
      </w:tr>
    </w:tbl>
    <w:p w:rsidR="008C0714" w:rsidRPr="008C0714" w:rsidRDefault="008C0714" w:rsidP="008C0714">
      <w:pPr>
        <w:shd w:val="clear" w:color="auto" w:fill="FFFFFF"/>
        <w:spacing w:before="125" w:after="125" w:line="240" w:lineRule="auto"/>
        <w:ind w:left="376" w:right="376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34" w:name="n32"/>
      <w:bookmarkEnd w:id="34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>ІНФОРМАЦІЯ</w:t>
      </w:r>
      <w:r w:rsidRPr="008C0714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________________ </w:t>
      </w:r>
      <w:proofErr w:type="spellStart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>державної</w:t>
      </w:r>
      <w:proofErr w:type="spellEnd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>адміністрації</w:t>
      </w:r>
      <w:proofErr w:type="spellEnd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>щодо</w:t>
      </w:r>
      <w:proofErr w:type="spellEnd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>суб'єктів</w:t>
      </w:r>
      <w:proofErr w:type="spellEnd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>природних</w:t>
      </w:r>
      <w:proofErr w:type="spellEnd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>монополій</w:t>
      </w:r>
      <w:proofErr w:type="spellEnd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, </w:t>
      </w:r>
      <w:proofErr w:type="spellStart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>які</w:t>
      </w:r>
      <w:proofErr w:type="spellEnd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>провадять</w:t>
      </w:r>
      <w:proofErr w:type="spellEnd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>господарську</w:t>
      </w:r>
      <w:proofErr w:type="spellEnd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>діяльність</w:t>
      </w:r>
      <w:proofErr w:type="spellEnd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gramStart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>у</w:t>
      </w:r>
      <w:proofErr w:type="gramEnd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сферах </w:t>
      </w:r>
      <w:proofErr w:type="spellStart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>централізованого</w:t>
      </w:r>
      <w:proofErr w:type="spellEnd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>водопостачання</w:t>
      </w:r>
      <w:proofErr w:type="spellEnd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та </w:t>
      </w:r>
      <w:proofErr w:type="spellStart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>водовідведення</w:t>
      </w:r>
      <w:proofErr w:type="spellEnd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, </w:t>
      </w:r>
      <w:proofErr w:type="spellStart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>транспортування</w:t>
      </w:r>
      <w:proofErr w:type="spellEnd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>теплової</w:t>
      </w:r>
      <w:proofErr w:type="spellEnd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8C0714">
        <w:rPr>
          <w:rFonts w:ascii="Times New Roman" w:eastAsia="Times New Roman" w:hAnsi="Times New Roman" w:cs="Times New Roman"/>
          <w:b/>
          <w:bCs/>
          <w:color w:val="333333"/>
          <w:sz w:val="28"/>
        </w:rPr>
        <w:t>енергії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56"/>
        <w:gridCol w:w="1"/>
        <w:gridCol w:w="843"/>
        <w:gridCol w:w="739"/>
        <w:gridCol w:w="1499"/>
        <w:gridCol w:w="1554"/>
        <w:gridCol w:w="837"/>
        <w:gridCol w:w="648"/>
        <w:gridCol w:w="1499"/>
        <w:gridCol w:w="22"/>
        <w:gridCol w:w="1477"/>
      </w:tblGrid>
      <w:tr w:rsidR="008C0714" w:rsidRPr="008C0714" w:rsidTr="008C0714">
        <w:trPr>
          <w:trHeight w:val="285"/>
        </w:trPr>
        <w:tc>
          <w:tcPr>
            <w:tcW w:w="2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n33"/>
            <w:bookmarkEnd w:id="35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ЄДРПОУ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суб'єкта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суб'єкта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суб'єкта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</w:p>
        </w:tc>
        <w:tc>
          <w:tcPr>
            <w:tcW w:w="9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господарської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провадиться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суб'єктом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</w:p>
        </w:tc>
        <w:tc>
          <w:tcPr>
            <w:tcW w:w="10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Територія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господарської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суб'єктом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</w:p>
        </w:tc>
      </w:tr>
      <w:tr w:rsidR="008C0714" w:rsidRPr="008C0714" w:rsidTr="008C0714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714" w:rsidRPr="008C0714" w:rsidRDefault="008C0714" w:rsidP="008C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714" w:rsidRPr="008C0714" w:rsidRDefault="008C0714" w:rsidP="008C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714" w:rsidRPr="008C0714" w:rsidRDefault="008C0714" w:rsidP="008C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адміністративно-територіальна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</w:t>
            </w:r>
            <w:proofErr w:type="spellEnd"/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поштова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індекс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714" w:rsidRPr="008C0714" w:rsidTr="008C0714">
        <w:trPr>
          <w:trHeight w:val="285"/>
        </w:trPr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0714" w:rsidRPr="008C0714" w:rsidTr="008C0714">
        <w:trPr>
          <w:trHeight w:val="285"/>
        </w:trPr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714" w:rsidRPr="008C0714" w:rsidTr="008C0714">
        <w:trPr>
          <w:trHeight w:val="285"/>
        </w:trPr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714" w:rsidRPr="008C0714" w:rsidTr="008C0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7" w:type="dxa"/>
          <w:wAfter w:w="57" w:type="dxa"/>
        </w:trPr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" w:name="n34"/>
            <w:bookmarkEnd w:id="36"/>
            <w:r w:rsidRPr="008C0714">
              <w:rPr>
                <w:rFonts w:ascii="Times New Roman" w:eastAsia="Times New Roman" w:hAnsi="Times New Roman" w:cs="Times New Roman"/>
                <w:sz w:val="20"/>
              </w:rPr>
              <w:t>__________</w:t>
            </w:r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C071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Примітка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1096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0714" w:rsidRPr="008C0714" w:rsidRDefault="008C0714" w:rsidP="008C0714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0"/>
              </w:rPr>
              <w:t>інформація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0"/>
              </w:rPr>
              <w:t>надається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0"/>
              </w:rPr>
              <w:t xml:space="preserve"> станом на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0"/>
              </w:rPr>
              <w:t>останнє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0"/>
              </w:rPr>
              <w:t xml:space="preserve"> число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0"/>
              </w:rPr>
              <w:t>звітного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C0714">
              <w:rPr>
                <w:rFonts w:ascii="Times New Roman" w:eastAsia="Times New Roman" w:hAnsi="Times New Roman" w:cs="Times New Roman"/>
                <w:sz w:val="20"/>
              </w:rPr>
              <w:t>місяця</w:t>
            </w:r>
            <w:proofErr w:type="spellEnd"/>
            <w:r w:rsidRPr="008C0714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</w:tbl>
    <w:p w:rsidR="00000000" w:rsidRDefault="008C071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C0714"/>
    <w:rsid w:val="008C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8C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8C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8C0714"/>
  </w:style>
  <w:style w:type="character" w:customStyle="1" w:styleId="rvts23">
    <w:name w:val="rvts23"/>
    <w:basedOn w:val="a0"/>
    <w:rsid w:val="008C0714"/>
  </w:style>
  <w:style w:type="paragraph" w:customStyle="1" w:styleId="rvps7">
    <w:name w:val="rvps7"/>
    <w:basedOn w:val="a"/>
    <w:rsid w:val="008C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8C0714"/>
  </w:style>
  <w:style w:type="paragraph" w:customStyle="1" w:styleId="rvps6">
    <w:name w:val="rvps6"/>
    <w:basedOn w:val="a"/>
    <w:rsid w:val="008C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">
    <w:name w:val="rvps18"/>
    <w:basedOn w:val="a"/>
    <w:rsid w:val="008C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C0714"/>
    <w:rPr>
      <w:color w:val="0000FF"/>
      <w:u w:val="single"/>
    </w:rPr>
  </w:style>
  <w:style w:type="paragraph" w:customStyle="1" w:styleId="rvps2">
    <w:name w:val="rvps2"/>
    <w:basedOn w:val="a"/>
    <w:rsid w:val="008C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2">
    <w:name w:val="rvts52"/>
    <w:basedOn w:val="a0"/>
    <w:rsid w:val="008C0714"/>
  </w:style>
  <w:style w:type="character" w:customStyle="1" w:styleId="rvts44">
    <w:name w:val="rvts44"/>
    <w:basedOn w:val="a0"/>
    <w:rsid w:val="008C0714"/>
  </w:style>
  <w:style w:type="paragraph" w:customStyle="1" w:styleId="rvps15">
    <w:name w:val="rvps15"/>
    <w:basedOn w:val="a"/>
    <w:rsid w:val="008C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8C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8C0714"/>
  </w:style>
  <w:style w:type="character" w:customStyle="1" w:styleId="rvts46">
    <w:name w:val="rvts46"/>
    <w:basedOn w:val="a0"/>
    <w:rsid w:val="008C0714"/>
  </w:style>
  <w:style w:type="paragraph" w:customStyle="1" w:styleId="rvps12">
    <w:name w:val="rvps12"/>
    <w:basedOn w:val="a"/>
    <w:rsid w:val="008C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8C0714"/>
  </w:style>
  <w:style w:type="character" w:customStyle="1" w:styleId="rvts90">
    <w:name w:val="rvts90"/>
    <w:basedOn w:val="a0"/>
    <w:rsid w:val="008C0714"/>
  </w:style>
  <w:style w:type="paragraph" w:styleId="a4">
    <w:name w:val="Balloon Text"/>
    <w:basedOn w:val="a"/>
    <w:link w:val="a5"/>
    <w:uiPriority w:val="99"/>
    <w:semiHidden/>
    <w:unhideWhenUsed/>
    <w:rsid w:val="008C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829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63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54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14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75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40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55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066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1268874-1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479-17" TargetMode="External"/><Relationship Id="rId12" Type="http://schemas.openxmlformats.org/officeDocument/2006/relationships/hyperlink" Target="https://zakon.rada.gov.ua/laws/show/v0876874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540-19" TargetMode="External"/><Relationship Id="rId11" Type="http://schemas.openxmlformats.org/officeDocument/2006/relationships/hyperlink" Target="https://zakon.rada.gov.ua/laws/show/v0876874-19" TargetMode="External"/><Relationship Id="rId5" Type="http://schemas.openxmlformats.org/officeDocument/2006/relationships/hyperlink" Target="https://zakon.rada.gov.ua/laws/show/v0876874-19" TargetMode="External"/><Relationship Id="rId10" Type="http://schemas.openxmlformats.org/officeDocument/2006/relationships/hyperlink" Target="https://zakon.rada.gov.ua/laws/show/1682-14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z0372-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978</Words>
  <Characters>5580</Characters>
  <Application>Microsoft Office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2023-01-17T16:49:00Z</dcterms:created>
  <dcterms:modified xsi:type="dcterms:W3CDTF">2023-01-17T16:50:00Z</dcterms:modified>
</cp:coreProperties>
</file>