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297B" w14:textId="77777777" w:rsidR="008D3271" w:rsidRPr="00B871AA" w:rsidRDefault="008D3271" w:rsidP="008D3271">
      <w:pPr>
        <w:jc w:val="center"/>
        <w:rPr>
          <w:b/>
          <w:sz w:val="22"/>
          <w:szCs w:val="22"/>
        </w:rPr>
      </w:pPr>
      <w:r w:rsidRPr="00B871AA">
        <w:rPr>
          <w:b/>
          <w:sz w:val="22"/>
          <w:szCs w:val="22"/>
        </w:rPr>
        <w:t>Зміни внесені до тендерної документації</w:t>
      </w:r>
    </w:p>
    <w:p w14:paraId="6F644A25" w14:textId="403E6262" w:rsidR="007E603A" w:rsidRDefault="008D3271" w:rsidP="001C416F">
      <w:pPr>
        <w:ind w:right="-1"/>
        <w:jc w:val="center"/>
        <w:rPr>
          <w:b/>
          <w:bCs/>
        </w:rPr>
      </w:pPr>
      <w:r w:rsidRPr="00B871AA">
        <w:rPr>
          <w:b/>
          <w:sz w:val="22"/>
          <w:szCs w:val="22"/>
        </w:rPr>
        <w:t xml:space="preserve">щодо закупівлі </w:t>
      </w:r>
      <w:r w:rsidR="004F38C1" w:rsidRPr="00B47381">
        <w:rPr>
          <w:b/>
          <w:bCs/>
          <w:iCs/>
          <w:color w:val="000000"/>
        </w:rPr>
        <w:t xml:space="preserve">«код згідно основного словника національного класифікатора України ДК 021:2015 - </w:t>
      </w:r>
      <w:bookmarkStart w:id="0" w:name="_Hlk159927456"/>
      <w:r w:rsidR="004F38C1" w:rsidRPr="00B47381">
        <w:rPr>
          <w:b/>
          <w:bCs/>
          <w:iCs/>
          <w:color w:val="000000"/>
        </w:rPr>
        <w:t xml:space="preserve">ДК 021:2015 -  39510000-0  Вироби домашнього текстилю </w:t>
      </w:r>
      <w:bookmarkEnd w:id="0"/>
      <w:r w:rsidR="004F38C1" w:rsidRPr="00B47381">
        <w:rPr>
          <w:b/>
          <w:bCs/>
          <w:iCs/>
          <w:color w:val="000000"/>
        </w:rPr>
        <w:t>(Простирадла, Підковдри, Наволочки)»</w:t>
      </w:r>
      <w:r w:rsidR="00476F09">
        <w:rPr>
          <w:b/>
          <w:bCs/>
        </w:rPr>
        <w:t>.</w:t>
      </w:r>
    </w:p>
    <w:p w14:paraId="757D4DF2" w14:textId="77777777"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7038"/>
        <w:gridCol w:w="6946"/>
      </w:tblGrid>
      <w:tr w:rsidR="00680296" w:rsidRPr="00B871AA" w14:paraId="2A4CEB8B" w14:textId="77777777" w:rsidTr="001C416F">
        <w:trPr>
          <w:trHeight w:val="480"/>
        </w:trPr>
        <w:tc>
          <w:tcPr>
            <w:tcW w:w="993" w:type="dxa"/>
            <w:vAlign w:val="center"/>
          </w:tcPr>
          <w:p w14:paraId="63243B51" w14:textId="77777777" w:rsidR="00680296" w:rsidRPr="00B871AA" w:rsidRDefault="00680296" w:rsidP="0051042C">
            <w:pPr>
              <w:jc w:val="center"/>
              <w:rPr>
                <w:b/>
                <w:color w:val="000000"/>
                <w:sz w:val="22"/>
                <w:szCs w:val="22"/>
              </w:rPr>
            </w:pPr>
            <w:r w:rsidRPr="00B871AA">
              <w:rPr>
                <w:b/>
                <w:color w:val="000000"/>
                <w:sz w:val="22"/>
                <w:szCs w:val="22"/>
              </w:rPr>
              <w:t>№</w:t>
            </w:r>
          </w:p>
          <w:p w14:paraId="00047CC1" w14:textId="77777777"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14:paraId="4732A1EC" w14:textId="77777777" w:rsidR="00680296" w:rsidRPr="00B871AA" w:rsidRDefault="00680296" w:rsidP="0051042C">
            <w:pPr>
              <w:jc w:val="center"/>
              <w:rPr>
                <w:b/>
                <w:color w:val="000000"/>
                <w:sz w:val="22"/>
                <w:szCs w:val="22"/>
              </w:rPr>
            </w:pPr>
            <w:r w:rsidRPr="00B871AA">
              <w:rPr>
                <w:b/>
                <w:color w:val="000000"/>
                <w:sz w:val="22"/>
                <w:szCs w:val="22"/>
              </w:rPr>
              <w:t>Пункт ТД</w:t>
            </w:r>
          </w:p>
        </w:tc>
        <w:tc>
          <w:tcPr>
            <w:tcW w:w="7038" w:type="dxa"/>
            <w:vAlign w:val="center"/>
          </w:tcPr>
          <w:p w14:paraId="7C7AC235" w14:textId="5267B570" w:rsidR="00680296" w:rsidRPr="00B871AA" w:rsidRDefault="00680296" w:rsidP="004D3917">
            <w:pPr>
              <w:jc w:val="center"/>
              <w:rPr>
                <w:b/>
                <w:color w:val="000000"/>
                <w:sz w:val="22"/>
                <w:szCs w:val="22"/>
              </w:rPr>
            </w:pPr>
            <w:r w:rsidRPr="00B871AA">
              <w:rPr>
                <w:b/>
                <w:color w:val="000000"/>
                <w:sz w:val="22"/>
                <w:szCs w:val="22"/>
              </w:rPr>
              <w:t xml:space="preserve">редакція від </w:t>
            </w:r>
            <w:r w:rsidR="009B227C">
              <w:rPr>
                <w:b/>
                <w:color w:val="000000"/>
                <w:sz w:val="22"/>
                <w:szCs w:val="22"/>
              </w:rPr>
              <w:t>27</w:t>
            </w:r>
            <w:r w:rsidRPr="00B871AA">
              <w:rPr>
                <w:b/>
                <w:color w:val="000000"/>
                <w:sz w:val="22"/>
                <w:szCs w:val="22"/>
              </w:rPr>
              <w:t>.</w:t>
            </w:r>
            <w:r w:rsidR="00477D11">
              <w:rPr>
                <w:b/>
                <w:color w:val="000000"/>
                <w:sz w:val="22"/>
                <w:szCs w:val="22"/>
              </w:rPr>
              <w:t>0</w:t>
            </w:r>
            <w:r w:rsidR="009B227C">
              <w:rPr>
                <w:b/>
                <w:color w:val="000000"/>
                <w:sz w:val="22"/>
                <w:szCs w:val="22"/>
              </w:rPr>
              <w:t>2</w:t>
            </w:r>
            <w:r w:rsidRPr="00B871AA">
              <w:rPr>
                <w:b/>
                <w:color w:val="000000"/>
                <w:sz w:val="22"/>
                <w:szCs w:val="22"/>
              </w:rPr>
              <w:t>.202</w:t>
            </w:r>
            <w:r w:rsidR="00477D11">
              <w:rPr>
                <w:b/>
                <w:color w:val="000000"/>
                <w:sz w:val="22"/>
                <w:szCs w:val="22"/>
              </w:rPr>
              <w:t>4</w:t>
            </w:r>
            <w:r w:rsidR="00930C61" w:rsidRPr="00B871AA">
              <w:rPr>
                <w:b/>
                <w:color w:val="000000"/>
                <w:sz w:val="22"/>
                <w:szCs w:val="22"/>
              </w:rPr>
              <w:t>р.</w:t>
            </w:r>
          </w:p>
        </w:tc>
        <w:tc>
          <w:tcPr>
            <w:tcW w:w="6946" w:type="dxa"/>
            <w:vAlign w:val="center"/>
          </w:tcPr>
          <w:p w14:paraId="0C797367" w14:textId="6F26AF1E" w:rsidR="00680296" w:rsidRPr="00B871AA" w:rsidRDefault="00680296" w:rsidP="004D3917">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9B227C">
              <w:rPr>
                <w:b/>
                <w:color w:val="000000"/>
                <w:sz w:val="22"/>
                <w:szCs w:val="22"/>
              </w:rPr>
              <w:t>01</w:t>
            </w:r>
            <w:r w:rsidRPr="00B871AA">
              <w:rPr>
                <w:b/>
                <w:color w:val="000000"/>
                <w:sz w:val="22"/>
                <w:szCs w:val="22"/>
              </w:rPr>
              <w:t>.</w:t>
            </w:r>
            <w:r w:rsidR="00477D11">
              <w:rPr>
                <w:b/>
                <w:color w:val="000000"/>
                <w:sz w:val="22"/>
                <w:szCs w:val="22"/>
              </w:rPr>
              <w:t>0</w:t>
            </w:r>
            <w:r w:rsidR="009B227C">
              <w:rPr>
                <w:b/>
                <w:color w:val="000000"/>
                <w:sz w:val="22"/>
                <w:szCs w:val="22"/>
              </w:rPr>
              <w:t>3</w:t>
            </w:r>
            <w:r w:rsidRPr="00B871AA">
              <w:rPr>
                <w:b/>
                <w:color w:val="000000"/>
                <w:sz w:val="22"/>
                <w:szCs w:val="22"/>
              </w:rPr>
              <w:t>.202</w:t>
            </w:r>
            <w:r w:rsidR="00477D11">
              <w:rPr>
                <w:b/>
                <w:color w:val="000000"/>
                <w:sz w:val="22"/>
                <w:szCs w:val="22"/>
              </w:rPr>
              <w:t>4</w:t>
            </w:r>
          </w:p>
        </w:tc>
      </w:tr>
      <w:tr w:rsidR="00680296" w:rsidRPr="00B871AA" w14:paraId="0B0713F4" w14:textId="77777777" w:rsidTr="00046B1C">
        <w:trPr>
          <w:trHeight w:val="85"/>
        </w:trPr>
        <w:tc>
          <w:tcPr>
            <w:tcW w:w="993" w:type="dxa"/>
            <w:vAlign w:val="center"/>
          </w:tcPr>
          <w:p w14:paraId="63F50504" w14:textId="77777777"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14:paraId="49CE5C45" w14:textId="77777777"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14:paraId="0CB6998A" w14:textId="77777777" w:rsidR="009B533C" w:rsidRPr="00BB1672" w:rsidRDefault="009B533C" w:rsidP="00046B1C">
            <w:pPr>
              <w:jc w:val="right"/>
              <w:rPr>
                <w:b/>
                <w:strike/>
              </w:rPr>
            </w:pPr>
            <w:r w:rsidRPr="00BB1672">
              <w:rPr>
                <w:b/>
                <w:bCs/>
                <w:iCs/>
                <w:strike/>
              </w:rPr>
              <w:t>ЗАТВЕРДЖЕНО</w:t>
            </w:r>
          </w:p>
          <w:p w14:paraId="542CE7C6" w14:textId="77777777" w:rsidR="00E01462" w:rsidRPr="00BB1672" w:rsidRDefault="00046B1C" w:rsidP="00046B1C">
            <w:pPr>
              <w:shd w:val="clear" w:color="auto" w:fill="FFFFFF"/>
              <w:jc w:val="right"/>
              <w:textAlignment w:val="baseline"/>
              <w:rPr>
                <w:b/>
                <w:bCs/>
                <w:iCs/>
                <w:strike/>
              </w:rPr>
            </w:pPr>
            <w:r w:rsidRPr="00BB1672">
              <w:rPr>
                <w:b/>
                <w:bCs/>
                <w:iCs/>
                <w:strike/>
              </w:rPr>
              <w:t>РІШЕННЯМ УПОВНОВАЖЕНОЇ ОСОБИ</w:t>
            </w:r>
          </w:p>
          <w:p w14:paraId="59C469F3" w14:textId="301FACF5" w:rsidR="00046B1C" w:rsidRPr="00BB1672" w:rsidRDefault="009422EA" w:rsidP="00046B1C">
            <w:pPr>
              <w:shd w:val="clear" w:color="auto" w:fill="FFFFFF"/>
              <w:jc w:val="right"/>
              <w:textAlignment w:val="baseline"/>
              <w:rPr>
                <w:b/>
                <w:strike/>
                <w:color w:val="000000"/>
                <w:sz w:val="22"/>
                <w:szCs w:val="22"/>
              </w:rPr>
            </w:pPr>
            <w:r w:rsidRPr="00BB1672">
              <w:rPr>
                <w:b/>
                <w:bCs/>
                <w:strike/>
              </w:rPr>
              <w:t>Протокол №</w:t>
            </w:r>
            <w:r w:rsidR="009B227C">
              <w:rPr>
                <w:b/>
                <w:bCs/>
                <w:strike/>
              </w:rPr>
              <w:t>65</w:t>
            </w:r>
            <w:r w:rsidRPr="00BB1672">
              <w:rPr>
                <w:b/>
                <w:bCs/>
                <w:strike/>
              </w:rPr>
              <w:t xml:space="preserve"> від </w:t>
            </w:r>
            <w:r w:rsidR="009B227C">
              <w:rPr>
                <w:b/>
                <w:bCs/>
                <w:strike/>
              </w:rPr>
              <w:t>27</w:t>
            </w:r>
            <w:r w:rsidR="00477D11">
              <w:rPr>
                <w:b/>
                <w:bCs/>
                <w:strike/>
              </w:rPr>
              <w:t xml:space="preserve"> </w:t>
            </w:r>
            <w:r w:rsidR="009B227C">
              <w:rPr>
                <w:b/>
                <w:bCs/>
                <w:strike/>
              </w:rPr>
              <w:t>лютого</w:t>
            </w:r>
            <w:r w:rsidR="00477D11">
              <w:rPr>
                <w:b/>
                <w:bCs/>
                <w:strike/>
              </w:rPr>
              <w:t xml:space="preserve"> </w:t>
            </w:r>
            <w:r w:rsidRPr="00BB1672">
              <w:rPr>
                <w:b/>
                <w:strike/>
              </w:rPr>
              <w:t>202</w:t>
            </w:r>
            <w:r w:rsidR="00477D11">
              <w:rPr>
                <w:b/>
                <w:strike/>
              </w:rPr>
              <w:t>4</w:t>
            </w:r>
            <w:r w:rsidRPr="00BB1672">
              <w:rPr>
                <w:b/>
                <w:strike/>
              </w:rPr>
              <w:t xml:space="preserve"> року</w:t>
            </w:r>
          </w:p>
        </w:tc>
        <w:tc>
          <w:tcPr>
            <w:tcW w:w="6946" w:type="dxa"/>
            <w:vAlign w:val="center"/>
          </w:tcPr>
          <w:p w14:paraId="5F217301" w14:textId="52167D12" w:rsidR="00046B1C" w:rsidRPr="00046B1C" w:rsidRDefault="005F56CC" w:rsidP="00046B1C">
            <w:pPr>
              <w:jc w:val="right"/>
              <w:rPr>
                <w:b/>
              </w:rPr>
            </w:pPr>
            <w:r>
              <w:rPr>
                <w:b/>
                <w:bCs/>
                <w:iCs/>
              </w:rPr>
              <w:t>ЗМІНЕНО</w:t>
            </w:r>
          </w:p>
          <w:p w14:paraId="2145E480" w14:textId="77777777" w:rsidR="00046B1C"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14:paraId="115BD500" w14:textId="2FBB3062" w:rsidR="00680296" w:rsidRPr="00B871AA" w:rsidRDefault="00046B1C" w:rsidP="009422EA">
            <w:pPr>
              <w:ind w:left="1741" w:hanging="1741"/>
              <w:jc w:val="right"/>
              <w:rPr>
                <w:b/>
                <w:color w:val="000000"/>
                <w:sz w:val="22"/>
                <w:szCs w:val="22"/>
              </w:rPr>
            </w:pPr>
            <w:r w:rsidRPr="00F81827">
              <w:rPr>
                <w:b/>
                <w:bCs/>
                <w:color w:val="000000" w:themeColor="text1"/>
              </w:rPr>
              <w:t xml:space="preserve">Протокол </w:t>
            </w:r>
            <w:r w:rsidRPr="002A7E97">
              <w:rPr>
                <w:b/>
                <w:bCs/>
                <w:color w:val="000000" w:themeColor="text1"/>
              </w:rPr>
              <w:t>№</w:t>
            </w:r>
            <w:r w:rsidR="004F38C1">
              <w:rPr>
                <w:b/>
                <w:bCs/>
                <w:color w:val="000000" w:themeColor="text1"/>
                <w:lang w:val="ru-RU"/>
              </w:rPr>
              <w:t>74</w:t>
            </w:r>
            <w:r w:rsidRPr="00F81827">
              <w:rPr>
                <w:b/>
                <w:bCs/>
                <w:color w:val="000000" w:themeColor="text1"/>
              </w:rPr>
              <w:t xml:space="preserve"> від</w:t>
            </w:r>
            <w:r w:rsidRPr="00046B1C">
              <w:rPr>
                <w:b/>
                <w:bCs/>
              </w:rPr>
              <w:t xml:space="preserve"> </w:t>
            </w:r>
            <w:r w:rsidR="00476F09">
              <w:rPr>
                <w:b/>
                <w:bCs/>
              </w:rPr>
              <w:t>«</w:t>
            </w:r>
            <w:r w:rsidR="009B227C">
              <w:rPr>
                <w:b/>
                <w:bCs/>
              </w:rPr>
              <w:t>01»</w:t>
            </w:r>
            <w:r w:rsidR="00477D11">
              <w:rPr>
                <w:b/>
              </w:rPr>
              <w:t xml:space="preserve"> </w:t>
            </w:r>
            <w:r w:rsidR="009B227C">
              <w:rPr>
                <w:b/>
              </w:rPr>
              <w:t>березня</w:t>
            </w:r>
            <w:r w:rsidR="00477D11">
              <w:rPr>
                <w:b/>
              </w:rPr>
              <w:t xml:space="preserve"> 2024</w:t>
            </w:r>
            <w:r w:rsidRPr="00046B1C">
              <w:rPr>
                <w:b/>
              </w:rPr>
              <w:t xml:space="preserve"> року</w:t>
            </w:r>
          </w:p>
        </w:tc>
      </w:tr>
      <w:tr w:rsidR="00AD3F09" w:rsidRPr="00B871AA" w14:paraId="0423B195" w14:textId="77777777" w:rsidTr="00046B1C">
        <w:trPr>
          <w:trHeight w:val="85"/>
        </w:trPr>
        <w:tc>
          <w:tcPr>
            <w:tcW w:w="993" w:type="dxa"/>
            <w:vAlign w:val="center"/>
          </w:tcPr>
          <w:p w14:paraId="44BDA884" w14:textId="68605E58" w:rsidR="00AD3F09" w:rsidRDefault="00AD3F09" w:rsidP="007E603A">
            <w:pPr>
              <w:jc w:val="center"/>
              <w:rPr>
                <w:b/>
                <w:color w:val="000000"/>
                <w:sz w:val="22"/>
                <w:szCs w:val="22"/>
              </w:rPr>
            </w:pPr>
            <w:r>
              <w:rPr>
                <w:b/>
                <w:color w:val="000000"/>
                <w:sz w:val="22"/>
                <w:szCs w:val="22"/>
              </w:rPr>
              <w:t>2</w:t>
            </w:r>
          </w:p>
        </w:tc>
        <w:tc>
          <w:tcPr>
            <w:tcW w:w="1325" w:type="dxa"/>
            <w:vAlign w:val="center"/>
          </w:tcPr>
          <w:p w14:paraId="3AF6BA6D" w14:textId="4DC53A0A" w:rsidR="00AD3F09" w:rsidRPr="00AD3F09" w:rsidRDefault="00AD3F09" w:rsidP="007E603A">
            <w:pPr>
              <w:jc w:val="center"/>
              <w:rPr>
                <w:b/>
                <w:color w:val="000000"/>
                <w:sz w:val="22"/>
                <w:szCs w:val="22"/>
              </w:rPr>
            </w:pPr>
            <w:r>
              <w:rPr>
                <w:b/>
                <w:color w:val="000000"/>
                <w:sz w:val="22"/>
                <w:szCs w:val="22"/>
              </w:rPr>
              <w:t xml:space="preserve">П.п. 3.5.7. п.5  Розділу </w:t>
            </w:r>
            <w:r>
              <w:rPr>
                <w:b/>
                <w:color w:val="000000"/>
                <w:sz w:val="22"/>
                <w:szCs w:val="22"/>
                <w:lang w:val="en-US"/>
              </w:rPr>
              <w:t xml:space="preserve">III </w:t>
            </w:r>
            <w:r>
              <w:rPr>
                <w:b/>
                <w:color w:val="000000"/>
                <w:sz w:val="22"/>
                <w:szCs w:val="22"/>
              </w:rPr>
              <w:t>до ТД</w:t>
            </w:r>
          </w:p>
        </w:tc>
        <w:tc>
          <w:tcPr>
            <w:tcW w:w="7038" w:type="dxa"/>
            <w:vAlign w:val="center"/>
          </w:tcPr>
          <w:p w14:paraId="46FA3871" w14:textId="77777777" w:rsidR="009B227C" w:rsidRPr="005528B4" w:rsidRDefault="009B227C" w:rsidP="009B227C">
            <w:pPr>
              <w:pStyle w:val="rvps2"/>
              <w:shd w:val="clear" w:color="auto" w:fill="FFFFFF"/>
              <w:spacing w:before="0" w:after="0"/>
              <w:contextualSpacing/>
              <w:jc w:val="both"/>
              <w:rPr>
                <w:color w:val="000000"/>
                <w:shd w:val="clear" w:color="auto" w:fill="FFFFFF"/>
                <w:lang w:val="uk-UA"/>
              </w:rPr>
            </w:pPr>
            <w:r w:rsidRPr="005528B4">
              <w:rPr>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5528B4">
              <w:rPr>
                <w:color w:val="000000"/>
                <w:lang w:val="uk-UA"/>
              </w:rPr>
              <w:t xml:space="preserve"> </w:t>
            </w:r>
            <w:r w:rsidRPr="005528B4">
              <w:rPr>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14:paraId="08541894" w14:textId="77777777" w:rsidR="009B227C" w:rsidRPr="005528B4" w:rsidRDefault="009B227C" w:rsidP="009B227C">
            <w:pPr>
              <w:pStyle w:val="rvps2"/>
              <w:numPr>
                <w:ilvl w:val="0"/>
                <w:numId w:val="26"/>
              </w:numPr>
              <w:shd w:val="clear" w:color="auto" w:fill="FFFFFF"/>
              <w:spacing w:before="0" w:after="0"/>
              <w:ind w:left="0" w:firstLine="0"/>
              <w:contextualSpacing/>
              <w:jc w:val="both"/>
              <w:rPr>
                <w:b/>
                <w:color w:val="000000"/>
                <w:shd w:val="clear" w:color="auto" w:fill="FFFFFF"/>
                <w:lang w:val="uk-UA"/>
              </w:rPr>
            </w:pPr>
            <w:r w:rsidRPr="005528B4">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6" w:history="1">
              <w:r w:rsidRPr="005528B4">
                <w:rPr>
                  <w:rStyle w:val="Hyperlink"/>
                  <w:color w:val="000000"/>
                  <w:lang w:val="uk-UA"/>
                </w:rPr>
                <w:t>https://corruptinfo.nazk.gov.ua/</w:t>
              </w:r>
            </w:hyperlink>
            <w:r w:rsidRPr="005528B4">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7" w:history="1">
              <w:r w:rsidRPr="005528B4">
                <w:rPr>
                  <w:rStyle w:val="Hyperlink"/>
                  <w:color w:val="000000"/>
                  <w:lang w:val="uk-UA"/>
                </w:rPr>
                <w:t>https://corruptinfo.nazk.gov.u</w:t>
              </w:r>
              <w:bookmarkStart w:id="1" w:name="_Hlt117176601"/>
              <w:bookmarkStart w:id="2" w:name="_Hlt117176602"/>
              <w:r w:rsidRPr="005528B4">
                <w:rPr>
                  <w:rStyle w:val="Hyperlink"/>
                  <w:color w:val="000000"/>
                  <w:lang w:val="uk-UA"/>
                </w:rPr>
                <w:t>a</w:t>
              </w:r>
              <w:bookmarkEnd w:id="1"/>
              <w:bookmarkEnd w:id="2"/>
              <w:r w:rsidRPr="005528B4">
                <w:rPr>
                  <w:rStyle w:val="Hyperlink"/>
                  <w:color w:val="000000"/>
                  <w:lang w:val="uk-UA"/>
                </w:rPr>
                <w:t>/reference/getpersonalreference/individual</w:t>
              </w:r>
            </w:hyperlink>
            <w:r w:rsidRPr="005528B4">
              <w:rPr>
                <w:color w:val="000000"/>
                <w:lang w:val="uk-UA"/>
              </w:rPr>
              <w:t>)</w:t>
            </w:r>
            <w:r w:rsidRPr="005528B4">
              <w:rPr>
                <w:b/>
                <w:color w:val="000000"/>
                <w:lang w:val="uk-UA"/>
              </w:rPr>
              <w:t>.</w:t>
            </w:r>
          </w:p>
          <w:p w14:paraId="1D3F8ADC" w14:textId="77777777" w:rsidR="009B227C" w:rsidRPr="005528B4" w:rsidRDefault="009B227C" w:rsidP="009B227C">
            <w:pPr>
              <w:pStyle w:val="rvps2"/>
              <w:numPr>
                <w:ilvl w:val="0"/>
                <w:numId w:val="26"/>
              </w:numPr>
              <w:shd w:val="clear" w:color="auto" w:fill="FFFFFF"/>
              <w:spacing w:before="0" w:after="0"/>
              <w:ind w:left="0" w:firstLine="0"/>
              <w:contextualSpacing/>
              <w:jc w:val="both"/>
              <w:rPr>
                <w:b/>
                <w:color w:val="000000"/>
                <w:shd w:val="clear" w:color="auto" w:fill="FFFFFF"/>
                <w:lang w:val="uk-UA"/>
              </w:rPr>
            </w:pPr>
            <w:r w:rsidRPr="005528B4">
              <w:rPr>
                <w:b/>
                <w:color w:val="000000"/>
                <w:lang w:val="uk-UA"/>
              </w:rPr>
              <w:lastRenderedPageBreak/>
              <w:t xml:space="preserve">Інформаційна довідка </w:t>
            </w:r>
            <w:r w:rsidRPr="005528B4">
              <w:rPr>
                <w:b/>
                <w:color w:val="000000"/>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п.п. 3 п. 47 Особливостей), що видана не більше трьох місяців відносно дати обрання учасника переможцем закупівлі або після такої дати.</w:t>
            </w:r>
          </w:p>
          <w:p w14:paraId="29BECA07" w14:textId="77777777" w:rsidR="009B227C" w:rsidRPr="005528B4" w:rsidRDefault="009B227C" w:rsidP="009B227C">
            <w:pPr>
              <w:pStyle w:val="rvps2"/>
              <w:shd w:val="clear" w:color="auto" w:fill="FFFFFF"/>
              <w:spacing w:before="0" w:after="0"/>
              <w:contextualSpacing/>
              <w:jc w:val="both"/>
              <w:rPr>
                <w:b/>
                <w:bCs/>
                <w:color w:val="000000"/>
                <w:lang w:val="uk-UA"/>
              </w:rPr>
            </w:pPr>
            <w:r w:rsidRPr="005528B4">
              <w:rPr>
                <w:color w:val="000000"/>
                <w:shd w:val="clear" w:color="auto" w:fill="FFFFFF"/>
                <w:lang w:val="uk-UA"/>
              </w:rPr>
              <w:t xml:space="preserve">-     </w:t>
            </w:r>
            <w:r w:rsidRPr="005528B4">
              <w:rPr>
                <w:b/>
                <w:color w:val="000000"/>
                <w:shd w:val="clear" w:color="auto" w:fill="FFFFFF"/>
                <w:lang w:val="uk-UA"/>
              </w:rPr>
              <w:t>Витяг</w:t>
            </w:r>
            <w:r w:rsidRPr="005528B4">
              <w:rPr>
                <w:color w:val="000000"/>
                <w:shd w:val="clear" w:color="auto" w:fill="FFFFFF"/>
                <w:lang w:val="uk-UA"/>
              </w:rPr>
              <w:t xml:space="preserve"> </w:t>
            </w:r>
            <w:r w:rsidRPr="005528B4">
              <w:rPr>
                <w:color w:val="000000"/>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5528B4">
              <w:rPr>
                <w:bCs/>
                <w:color w:val="000000"/>
                <w:lang w:val="uk-UA"/>
              </w:rPr>
              <w:t>, який підтверджує відсутність судимості або обмежень, передбачених кримінальним процесуальним законодавством України</w:t>
            </w:r>
            <w:r w:rsidRPr="005528B4">
              <w:rPr>
                <w:b/>
                <w:bCs/>
                <w:color w:val="00000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5528B4">
              <w:rPr>
                <w:bCs/>
                <w:color w:val="000000"/>
                <w:lang w:val="uk-UA"/>
              </w:rPr>
              <w:t>Витяг має містити унікальний електронний ідентифікатор (QR-код) за яким можливо здійснити перевірку його достовірності</w:t>
            </w:r>
            <w:r w:rsidRPr="005528B4">
              <w:rPr>
                <w:color w:val="000000"/>
                <w:lang w:val="uk-UA"/>
              </w:rPr>
              <w:t xml:space="preserve"> </w:t>
            </w:r>
            <w:r w:rsidRPr="005528B4">
              <w:rPr>
                <w:color w:val="000000"/>
                <w:shd w:val="clear" w:color="auto" w:fill="FFFFFF"/>
                <w:lang w:val="uk-UA"/>
              </w:rPr>
              <w:t>(підтверджує відповідність п.п.  5, 6 та 12 п. 47  Особливостей)</w:t>
            </w:r>
            <w:r w:rsidRPr="005528B4">
              <w:rPr>
                <w:color w:val="000000"/>
                <w:lang w:val="uk-UA"/>
              </w:rPr>
              <w:t>; </w:t>
            </w:r>
          </w:p>
          <w:p w14:paraId="1759398D" w14:textId="77777777" w:rsidR="009B227C" w:rsidRPr="005528B4" w:rsidRDefault="009B227C" w:rsidP="009B227C">
            <w:pPr>
              <w:pStyle w:val="rvps2"/>
              <w:numPr>
                <w:ilvl w:val="0"/>
                <w:numId w:val="25"/>
              </w:numPr>
              <w:shd w:val="clear" w:color="auto" w:fill="FFFFFF"/>
              <w:suppressAutoHyphens w:val="0"/>
              <w:spacing w:before="0" w:after="0"/>
              <w:ind w:left="-17" w:firstLine="15"/>
              <w:contextualSpacing/>
              <w:jc w:val="both"/>
              <w:rPr>
                <w:color w:val="000000"/>
                <w:lang w:val="uk-UA"/>
              </w:rPr>
            </w:pPr>
            <w:r w:rsidRPr="005528B4">
              <w:rPr>
                <w:b/>
                <w:color w:val="000000"/>
                <w:lang w:val="uk-UA"/>
              </w:rPr>
              <w:t>Також додатково, по п.п.12 п. 47 Особливостей, надається довідка</w:t>
            </w:r>
            <w:r w:rsidRPr="005528B4">
              <w:rPr>
                <w:color w:val="000000"/>
                <w:lang w:val="uk-UA"/>
              </w:rPr>
              <w:t xml:space="preserve">, складена учасником у довільній формі, про те, що </w:t>
            </w:r>
            <w:r w:rsidRPr="005528B4">
              <w:rPr>
                <w:color w:val="00000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528B4">
              <w:rPr>
                <w:color w:val="000000"/>
                <w:lang w:val="uk-UA"/>
              </w:rPr>
              <w:t>;</w:t>
            </w:r>
          </w:p>
          <w:p w14:paraId="265AC5B6" w14:textId="550182E1" w:rsidR="00AD3F09" w:rsidRPr="00B84EFD" w:rsidRDefault="009B227C" w:rsidP="009B227C">
            <w:pPr>
              <w:jc w:val="right"/>
              <w:rPr>
                <w:b/>
                <w:bCs/>
                <w:iCs/>
                <w:strike/>
              </w:rPr>
            </w:pPr>
            <w:r w:rsidRPr="005528B4">
              <w:rPr>
                <w:b/>
                <w:color w:val="000000"/>
              </w:rPr>
              <w:t>Довідку</w:t>
            </w:r>
            <w:r w:rsidRPr="005528B4">
              <w:rPr>
                <w:color w:val="000000"/>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tc>
        <w:tc>
          <w:tcPr>
            <w:tcW w:w="6946" w:type="dxa"/>
            <w:vAlign w:val="center"/>
          </w:tcPr>
          <w:p w14:paraId="6857B1F7" w14:textId="77777777" w:rsidR="00AD3F09" w:rsidRDefault="00AD3F09" w:rsidP="00AD3F09">
            <w:pPr>
              <w:pStyle w:val="rvps2"/>
              <w:shd w:val="clear" w:color="auto" w:fill="FFFFFF"/>
              <w:spacing w:before="0" w:after="0"/>
              <w:contextualSpacing/>
              <w:jc w:val="both"/>
              <w:rPr>
                <w:lang w:val="uk-UA"/>
              </w:rPr>
            </w:pPr>
            <w:r>
              <w:rPr>
                <w:lang w:val="uk-UA"/>
              </w:rPr>
              <w:lastRenderedPageBreak/>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07533CDB" w14:textId="77777777" w:rsidR="00AD3F09" w:rsidRDefault="00AD3F09" w:rsidP="00AD3F09">
            <w:pPr>
              <w:pStyle w:val="rvps2"/>
              <w:shd w:val="clear" w:color="auto" w:fill="FFFFFF"/>
              <w:spacing w:before="0" w:after="0"/>
              <w:contextualSpacing/>
              <w:jc w:val="both"/>
              <w:rPr>
                <w:shd w:val="clear" w:color="auto" w:fill="FFFFFF"/>
                <w:lang w:val="uk-UA"/>
              </w:rPr>
            </w:pPr>
            <w:r>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1F525528" w14:textId="77777777" w:rsidR="00AD3F09" w:rsidRDefault="00AD3F09" w:rsidP="00AD3F09">
            <w:pPr>
              <w:pStyle w:val="rvps2"/>
              <w:shd w:val="clear" w:color="auto" w:fill="FFFFFF"/>
              <w:spacing w:before="0" w:after="0"/>
              <w:contextualSpacing/>
              <w:jc w:val="both"/>
              <w:rPr>
                <w:shd w:val="clear" w:color="auto" w:fill="FFFFFF"/>
                <w:lang w:val="uk-UA"/>
              </w:rPr>
            </w:pPr>
            <w:r>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shd w:val="clear" w:color="auto" w:fill="FFFFFF"/>
              </w:rPr>
              <w:t> </w:t>
            </w:r>
            <w:hyperlink r:id="rId8" w:tgtFrame="_blank" w:history="1">
              <w:r>
                <w:rPr>
                  <w:rStyle w:val="Hyperlink"/>
                  <w:shd w:val="clear" w:color="auto" w:fill="FFFFFF"/>
                  <w:lang w:val="uk-UA"/>
                </w:rPr>
                <w:t>Законом України</w:t>
              </w:r>
            </w:hyperlink>
            <w:r>
              <w:rPr>
                <w:shd w:val="clear" w:color="auto" w:fill="FFFFFF"/>
              </w:rPr>
              <w:t> </w:t>
            </w:r>
            <w:r>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99B0D4" w14:textId="77777777" w:rsidR="00AD3F09" w:rsidRPr="002A0967" w:rsidRDefault="00AD3F09" w:rsidP="00AD3F09">
            <w:pPr>
              <w:pStyle w:val="rvps2"/>
              <w:shd w:val="clear" w:color="auto" w:fill="FFFFFF"/>
              <w:spacing w:before="0" w:after="0"/>
              <w:jc w:val="both"/>
              <w:rPr>
                <w:i/>
                <w:shd w:val="clear" w:color="auto" w:fill="FFFFFF"/>
                <w:lang w:val="uk-UA"/>
              </w:rPr>
            </w:pPr>
            <w:r>
              <w:rPr>
                <w:shd w:val="clear" w:color="auto" w:fill="FFFFFF"/>
                <w:lang w:val="uk-UA"/>
              </w:rPr>
              <w:t xml:space="preserve">* </w:t>
            </w:r>
            <w:r w:rsidRPr="002A0967">
              <w:rPr>
                <w:i/>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2A0967">
              <w:rPr>
                <w:b/>
                <w:i/>
                <w:shd w:val="clear" w:color="auto" w:fill="FFFFFF"/>
                <w:lang w:val="uk-UA"/>
              </w:rPr>
              <w:t>з урахуванням безпекових аспектів</w:t>
            </w:r>
            <w:r w:rsidRPr="002A0967">
              <w:rPr>
                <w:i/>
                <w:shd w:val="clear" w:color="auto" w:fill="FFFFFF"/>
                <w:lang w:val="uk-UA"/>
              </w:rPr>
              <w:t xml:space="preserve">. </w:t>
            </w:r>
          </w:p>
          <w:p w14:paraId="072191EE" w14:textId="77777777" w:rsidR="00AD3F09" w:rsidRPr="002A0967" w:rsidRDefault="00AD3F09" w:rsidP="00AD3F09">
            <w:pPr>
              <w:pStyle w:val="rvps2"/>
              <w:shd w:val="clear" w:color="auto" w:fill="FFFFFF"/>
              <w:spacing w:before="0" w:after="0"/>
              <w:jc w:val="both"/>
              <w:rPr>
                <w:i/>
                <w:color w:val="000000"/>
                <w:lang w:val="uk-UA"/>
              </w:rPr>
            </w:pPr>
            <w:r w:rsidRPr="002A0967">
              <w:rPr>
                <w:i/>
                <w:color w:val="000000"/>
                <w:lang w:val="uk-UA"/>
              </w:rPr>
              <w:t xml:space="preserve">У зв’язку з воєнним станом в Україні, введеним указом Президента «Про введення воєнного стану в Україні» № 64/2022 від 24.02.2022 року, </w:t>
            </w:r>
            <w:r w:rsidRPr="002A0967">
              <w:rPr>
                <w:i/>
                <w:shd w:val="clear" w:color="auto" w:fill="FFFFFF"/>
                <w:lang w:val="uk-UA"/>
              </w:rPr>
              <w:t xml:space="preserve">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w:t>
            </w:r>
            <w:r w:rsidRPr="002A0967">
              <w:rPr>
                <w:i/>
                <w:shd w:val="clear" w:color="auto" w:fill="FFFFFF"/>
                <w:lang w:val="uk-UA"/>
              </w:rPr>
              <w:lastRenderedPageBreak/>
              <w:t>умовах воєнного стану»»,</w:t>
            </w:r>
            <w:r w:rsidRPr="002A0967">
              <w:rPr>
                <w:i/>
                <w:color w:val="000000"/>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w:t>
            </w:r>
            <w:r>
              <w:rPr>
                <w:i/>
                <w:color w:val="000000"/>
                <w:lang w:val="uk-UA"/>
              </w:rPr>
              <w:t xml:space="preserve">від </w:t>
            </w:r>
            <w:r w:rsidRPr="00E32A73">
              <w:rPr>
                <w:i/>
                <w:color w:val="000000"/>
                <w:lang w:val="uk-UA"/>
              </w:rPr>
              <w:t>Переможц</w:t>
            </w:r>
            <w:r>
              <w:rPr>
                <w:i/>
                <w:color w:val="000000"/>
                <w:lang w:val="uk-UA"/>
              </w:rPr>
              <w:t>я</w:t>
            </w:r>
            <w:r w:rsidRPr="00E32A73">
              <w:rPr>
                <w:i/>
                <w:color w:val="000000"/>
                <w:lang w:val="uk-UA"/>
              </w:rPr>
              <w:t xml:space="preserve"> процедури Інформаційн</w:t>
            </w:r>
            <w:r>
              <w:rPr>
                <w:i/>
                <w:color w:val="000000"/>
                <w:lang w:val="uk-UA"/>
              </w:rPr>
              <w:t>у</w:t>
            </w:r>
            <w:r w:rsidRPr="00E32A73">
              <w:rPr>
                <w:i/>
                <w:color w:val="000000"/>
                <w:lang w:val="uk-UA"/>
              </w:rPr>
              <w:t xml:space="preserve"> довідк</w:t>
            </w:r>
            <w:r>
              <w:rPr>
                <w:i/>
                <w:color w:val="000000"/>
                <w:lang w:val="uk-UA"/>
              </w:rPr>
              <w:t>у</w:t>
            </w:r>
            <w:r w:rsidRPr="00E32A73">
              <w:rPr>
                <w:i/>
                <w:color w:val="000000"/>
                <w:lang w:val="uk-UA"/>
              </w:rPr>
              <w:t xml:space="preserve">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r w:rsidRPr="002A0967">
              <w:rPr>
                <w:i/>
                <w:color w:val="000000"/>
                <w:lang w:val="uk-UA"/>
              </w:rPr>
              <w:t xml:space="preserve"> виходячи з наступного:</w:t>
            </w:r>
          </w:p>
          <w:p w14:paraId="2DE813EE" w14:textId="77777777" w:rsidR="00AD3F09" w:rsidRPr="002A0967" w:rsidRDefault="00AD3F09" w:rsidP="00AD3F09">
            <w:pPr>
              <w:pStyle w:val="rvps2"/>
              <w:shd w:val="clear" w:color="auto" w:fill="FFFFFF"/>
              <w:spacing w:before="0" w:after="0"/>
              <w:jc w:val="both"/>
              <w:rPr>
                <w:i/>
                <w:color w:val="000000"/>
                <w:lang w:val="uk-UA"/>
              </w:rPr>
            </w:pPr>
            <w:r w:rsidRPr="002A0967">
              <w:rPr>
                <w:i/>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B515B57" w14:textId="77777777" w:rsidR="00AD3F09" w:rsidRPr="001C5117" w:rsidRDefault="00AD3F09" w:rsidP="00AD3F09">
            <w:pPr>
              <w:jc w:val="both"/>
              <w:rPr>
                <w:i/>
                <w:shd w:val="clear" w:color="auto" w:fill="FFFFFF"/>
              </w:rPr>
            </w:pPr>
            <w:r w:rsidRPr="001C5117">
              <w:rPr>
                <w:i/>
                <w:shd w:val="clear" w:color="auto" w:fill="FFFFFF"/>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внесено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w:t>
            </w:r>
            <w:r w:rsidRPr="001C5117">
              <w:rPr>
                <w:b/>
                <w:i/>
                <w:shd w:val="clear" w:color="auto" w:fill="FFFFFF"/>
              </w:rPr>
              <w:t>до моменту припинення або скасування воєнного стану в Україні.</w:t>
            </w:r>
          </w:p>
          <w:p w14:paraId="3B29F631" w14:textId="77777777" w:rsidR="00AD3F09" w:rsidRPr="00C84DDE" w:rsidRDefault="00AD3F09" w:rsidP="00AD3F09">
            <w:pPr>
              <w:pStyle w:val="rvps2"/>
              <w:shd w:val="clear" w:color="auto" w:fill="FFFFFF"/>
              <w:spacing w:before="0" w:after="0"/>
              <w:contextualSpacing/>
              <w:jc w:val="both"/>
              <w:rPr>
                <w:b/>
                <w:shd w:val="clear" w:color="auto" w:fill="FFFFFF"/>
                <w:lang w:val="uk-UA"/>
              </w:rPr>
            </w:pPr>
            <w:r w:rsidRPr="001C5117">
              <w:rPr>
                <w:lang w:val="uk-UA"/>
              </w:rPr>
              <w:t>Враховуючи вищевказане та той факт, що після відкриття доступу до реєстру 04.09.2023 року відомості, які містяться у вільному доступі на порталі (</w:t>
            </w:r>
            <w:hyperlink r:id="rId9" w:history="1">
              <w:r w:rsidRPr="001C5117">
                <w:rPr>
                  <w:rStyle w:val="Hyperlink"/>
                  <w:color w:val="000000"/>
                  <w:lang w:val="uk-UA"/>
                </w:rPr>
                <w:t>https://corruptinfo.nazk.gov.ua</w:t>
              </w:r>
            </w:hyperlink>
            <w:r w:rsidRPr="001C5117">
              <w:rPr>
                <w:lang w:val="uk-UA"/>
              </w:rPr>
              <w:t xml:space="preserve">), не відображають інформацію, зокрема, стосовно місця роботи, посади на час вчинення особою корупційного або пов’язаного з </w:t>
            </w:r>
            <w:r w:rsidRPr="001C5117">
              <w:rPr>
                <w:lang w:val="uk-UA"/>
              </w:rPr>
              <w:lastRenderedPageBreak/>
              <w:t>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 Переможець надає</w:t>
            </w:r>
            <w:r w:rsidRPr="00C84DDE">
              <w:rPr>
                <w:lang w:val="uk-UA"/>
              </w:rPr>
              <w:t xml:space="preserve"> </w:t>
            </w:r>
            <w:r w:rsidRPr="00C84DDE">
              <w:rPr>
                <w:b/>
                <w:lang w:val="uk-UA"/>
              </w:rPr>
              <w:t xml:space="preserve">Інформаційну довідку </w:t>
            </w:r>
            <w:r w:rsidRPr="00C84DDE">
              <w:rPr>
                <w:shd w:val="clear" w:color="auto" w:fill="FFFFFF"/>
                <w:lang w:val="uk-UA"/>
              </w:rPr>
              <w:t>з Єдиного державного реєстру осіб, які вчинили корупційні або пов’язані з корупцією правопорушення видан</w:t>
            </w:r>
            <w:r w:rsidRPr="00C84DDE">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C84DDE">
              <w:rPr>
                <w:shd w:val="clear" w:color="auto" w:fill="FFFFFF"/>
                <w:lang w:val="uk-UA"/>
              </w:rPr>
              <w:t>(</w:t>
            </w:r>
            <w:r w:rsidRPr="00C84DDE">
              <w:rPr>
                <w:lang w:val="uk-UA"/>
              </w:rPr>
              <w:t xml:space="preserve">така довідка формується онлайн  учасником: </w:t>
            </w:r>
            <w:hyperlink r:id="rId10" w:history="1">
              <w:r w:rsidRPr="00C84DDE">
                <w:rPr>
                  <w:rStyle w:val="Hyperlink"/>
                  <w:lang w:val="uk-UA"/>
                </w:rPr>
                <w:t>https://corruptinfo.nazk.gov.ua/reference/getpersonalreference/individual</w:t>
              </w:r>
            </w:hyperlink>
            <w:r w:rsidRPr="00C84DDE">
              <w:rPr>
                <w:lang w:val="uk-UA"/>
              </w:rPr>
              <w:t>)</w:t>
            </w:r>
            <w:r w:rsidRPr="00C84DDE">
              <w:rPr>
                <w:b/>
                <w:lang w:val="uk-UA"/>
              </w:rPr>
              <w:t>.</w:t>
            </w:r>
          </w:p>
          <w:p w14:paraId="53D68A9E" w14:textId="77777777" w:rsidR="00AD3F09" w:rsidRDefault="00AD3F09" w:rsidP="00AD3F09">
            <w:pPr>
              <w:pStyle w:val="rvps2"/>
              <w:numPr>
                <w:ilvl w:val="0"/>
                <w:numId w:val="24"/>
              </w:numPr>
              <w:spacing w:before="0" w:after="0"/>
              <w:ind w:left="-17" w:firstLine="0"/>
              <w:contextualSpacing/>
              <w:jc w:val="both"/>
              <w:rPr>
                <w:b/>
                <w:bCs/>
                <w:lang w:val="uk-UA"/>
              </w:rPr>
            </w:pPr>
            <w:r>
              <w:rPr>
                <w:b/>
                <w:lang w:val="uk-UA"/>
              </w:rPr>
              <w:t xml:space="preserve">Витяг </w:t>
            </w:r>
            <w:r>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Pr>
                <w:b/>
                <w:lang w:val="uk-UA"/>
              </w:rPr>
              <w:t>виданий на ім’я фізичної особи, яка є учасником, чи керівника учасника</w:t>
            </w:r>
            <w:r>
              <w:rPr>
                <w:lang w:val="uk-UA"/>
              </w:rPr>
              <w:t xml:space="preserve">, вказаний витяг повинен бути датований </w:t>
            </w:r>
            <w:r>
              <w:rPr>
                <w:b/>
                <w:bCs/>
                <w:lang w:val="uk-UA"/>
              </w:rPr>
              <w:t xml:space="preserve">не більше трьохмісячної давнини відносно дати подання тендерних пропозицій. </w:t>
            </w:r>
            <w:r>
              <w:rPr>
                <w:bCs/>
                <w:lang w:val="uk-UA"/>
              </w:rPr>
              <w:t>В</w:t>
            </w:r>
            <w:r>
              <w:rPr>
                <w:lang w:val="uk-UA"/>
              </w:rPr>
              <w:t xml:space="preserve">казана витяг (довідка) може бути надана у вигляді електронного документу </w:t>
            </w:r>
            <w:r>
              <w:rPr>
                <w:shd w:val="clear" w:color="auto" w:fill="FFFFFF"/>
                <w:lang w:val="uk-UA"/>
              </w:rPr>
              <w:t>(підтверджує відповідність підпунктів 5, 6 та 12 пункту 47 Особливостей)</w:t>
            </w:r>
            <w:r>
              <w:rPr>
                <w:lang w:val="uk-UA"/>
              </w:rPr>
              <w:t>; </w:t>
            </w:r>
          </w:p>
          <w:p w14:paraId="6890C0EA" w14:textId="77777777" w:rsidR="00AD3F09" w:rsidRDefault="00AD3F09" w:rsidP="00AD3F09">
            <w:pPr>
              <w:pStyle w:val="rvps2"/>
              <w:numPr>
                <w:ilvl w:val="0"/>
                <w:numId w:val="24"/>
              </w:numPr>
              <w:shd w:val="clear" w:color="auto" w:fill="FFFFFF"/>
              <w:suppressAutoHyphens w:val="0"/>
              <w:spacing w:before="0" w:after="0"/>
              <w:ind w:left="-17" w:firstLine="15"/>
              <w:contextualSpacing/>
              <w:jc w:val="both"/>
              <w:rPr>
                <w:lang w:val="uk-UA"/>
              </w:rPr>
            </w:pPr>
            <w:r>
              <w:rPr>
                <w:b/>
                <w:lang w:val="uk-UA"/>
              </w:rPr>
              <w:t>Також додатково, по підпункту 12 пункту 47 Особливостей, надається довідка</w:t>
            </w:r>
            <w:r>
              <w:rPr>
                <w:lang w:val="uk-UA"/>
              </w:rPr>
              <w:t xml:space="preserve">, складена учасником у довільній формі, про те, що </w:t>
            </w:r>
            <w:r>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5F8FFE" w14:textId="1445B1F8" w:rsidR="00AD3F09" w:rsidRDefault="00AD3F09" w:rsidP="00AD3F09">
            <w:pPr>
              <w:jc w:val="right"/>
              <w:rPr>
                <w:b/>
                <w:bCs/>
                <w:iCs/>
              </w:rPr>
            </w:pPr>
            <w:r>
              <w:rPr>
                <w:b/>
              </w:rPr>
              <w:t>Довідку</w:t>
            </w:r>
            <w:r>
              <w:t xml:space="preserve">, складена учасником у довільній формі, що підтверджує відсутність підстави, передбаченої </w:t>
            </w:r>
            <w:r>
              <w:rPr>
                <w:b/>
              </w:rPr>
              <w:t>абзацом чотирнадцятим пункту 47 Особливостей</w:t>
            </w:r>
            <w:r>
              <w:t xml:space="preserve">, або інформація у довільній формі, що підтверджує вжиття заходів для доведення надійності учасника, згідно </w:t>
            </w:r>
            <w:r>
              <w:rPr>
                <w:b/>
              </w:rPr>
              <w:t>абзацу чотирнадцятого пункту 47 Особливостей</w:t>
            </w:r>
            <w:r>
              <w:t>.</w:t>
            </w:r>
          </w:p>
        </w:tc>
      </w:tr>
      <w:tr w:rsidR="007D6AD5" w:rsidRPr="00B871AA" w14:paraId="0E4F164A" w14:textId="77777777" w:rsidTr="00046B1C">
        <w:trPr>
          <w:trHeight w:val="85"/>
        </w:trPr>
        <w:tc>
          <w:tcPr>
            <w:tcW w:w="993" w:type="dxa"/>
            <w:vAlign w:val="center"/>
          </w:tcPr>
          <w:p w14:paraId="28FC0C5C" w14:textId="4E6FA185" w:rsidR="007D6AD5" w:rsidRDefault="007D6AD5" w:rsidP="007E603A">
            <w:pPr>
              <w:jc w:val="center"/>
              <w:rPr>
                <w:b/>
                <w:color w:val="000000"/>
                <w:sz w:val="22"/>
                <w:szCs w:val="22"/>
              </w:rPr>
            </w:pPr>
            <w:r>
              <w:rPr>
                <w:b/>
                <w:color w:val="000000"/>
                <w:sz w:val="22"/>
                <w:szCs w:val="22"/>
              </w:rPr>
              <w:lastRenderedPageBreak/>
              <w:t>3</w:t>
            </w:r>
          </w:p>
        </w:tc>
        <w:tc>
          <w:tcPr>
            <w:tcW w:w="1325" w:type="dxa"/>
            <w:vAlign w:val="center"/>
          </w:tcPr>
          <w:p w14:paraId="6872DE24" w14:textId="1CB0D3D0" w:rsidR="007D6AD5" w:rsidRDefault="007D6AD5" w:rsidP="007E603A">
            <w:pPr>
              <w:jc w:val="center"/>
              <w:rPr>
                <w:b/>
                <w:color w:val="000000"/>
                <w:sz w:val="22"/>
                <w:szCs w:val="22"/>
              </w:rPr>
            </w:pPr>
            <w:r>
              <w:rPr>
                <w:b/>
                <w:color w:val="000000"/>
                <w:sz w:val="22"/>
                <w:szCs w:val="22"/>
              </w:rPr>
              <w:t xml:space="preserve">П.п. 3.5.6. п.5  Розділу </w:t>
            </w:r>
            <w:r>
              <w:rPr>
                <w:b/>
                <w:color w:val="000000"/>
                <w:sz w:val="22"/>
                <w:szCs w:val="22"/>
                <w:lang w:val="en-US"/>
              </w:rPr>
              <w:t xml:space="preserve">III </w:t>
            </w:r>
            <w:r>
              <w:rPr>
                <w:b/>
                <w:color w:val="000000"/>
                <w:sz w:val="22"/>
                <w:szCs w:val="22"/>
              </w:rPr>
              <w:lastRenderedPageBreak/>
              <w:t>до ТД</w:t>
            </w:r>
          </w:p>
        </w:tc>
        <w:tc>
          <w:tcPr>
            <w:tcW w:w="7038" w:type="dxa"/>
            <w:vAlign w:val="center"/>
          </w:tcPr>
          <w:p w14:paraId="6E4ED1E2" w14:textId="77777777" w:rsidR="009B227C" w:rsidRPr="005528B4" w:rsidRDefault="009B227C" w:rsidP="009B227C">
            <w:pPr>
              <w:pStyle w:val="21"/>
              <w:spacing w:after="0" w:line="240" w:lineRule="auto"/>
              <w:ind w:left="-15" w:right="135"/>
              <w:contextualSpacing/>
              <w:jc w:val="both"/>
              <w:rPr>
                <w:rFonts w:ascii="Times New Roman" w:hAnsi="Times New Roman"/>
                <w:b/>
                <w:color w:val="000000"/>
                <w:sz w:val="24"/>
                <w:szCs w:val="24"/>
                <w:lang w:val="uk-UA"/>
              </w:rPr>
            </w:pPr>
            <w:r w:rsidRPr="005528B4">
              <w:rPr>
                <w:rFonts w:ascii="Times New Roman" w:hAnsi="Times New Roman"/>
                <w:b/>
                <w:color w:val="000000"/>
                <w:sz w:val="24"/>
                <w:szCs w:val="24"/>
                <w:lang w:val="uk-UA"/>
              </w:rPr>
              <w:lastRenderedPageBreak/>
              <w:t>Враховуючи вищевикладений пункт:</w:t>
            </w:r>
          </w:p>
          <w:p w14:paraId="60D6BEDD" w14:textId="77777777" w:rsidR="009B227C" w:rsidRPr="005528B4" w:rsidRDefault="009B227C" w:rsidP="009B227C">
            <w:pPr>
              <w:pStyle w:val="21"/>
              <w:spacing w:after="0" w:line="240" w:lineRule="auto"/>
              <w:ind w:left="-15" w:right="135"/>
              <w:contextualSpacing/>
              <w:jc w:val="both"/>
              <w:rPr>
                <w:rFonts w:ascii="Times New Roman" w:hAnsi="Times New Roman"/>
                <w:i/>
                <w:color w:val="000000"/>
                <w:sz w:val="24"/>
                <w:szCs w:val="24"/>
                <w:lang w:val="uk-UA"/>
              </w:rPr>
            </w:pPr>
            <w:r w:rsidRPr="005528B4">
              <w:rPr>
                <w:rFonts w:ascii="Times New Roman" w:hAnsi="Times New Roman"/>
                <w:color w:val="000000"/>
                <w:sz w:val="24"/>
                <w:szCs w:val="24"/>
                <w:lang w:val="uk-UA"/>
              </w:rPr>
              <w:t xml:space="preserve"> -</w:t>
            </w:r>
            <w:r w:rsidRPr="005528B4">
              <w:rPr>
                <w:rFonts w:ascii="Times New Roman" w:hAnsi="Times New Roman"/>
                <w:b/>
                <w:color w:val="000000"/>
                <w:sz w:val="24"/>
                <w:szCs w:val="24"/>
                <w:lang w:val="uk-UA"/>
              </w:rPr>
              <w:t xml:space="preserve"> Учасник процедури закупівлі в електронній системі </w:t>
            </w:r>
            <w:r w:rsidRPr="005528B4">
              <w:rPr>
                <w:rFonts w:ascii="Times New Roman" w:hAnsi="Times New Roman"/>
                <w:b/>
                <w:color w:val="000000"/>
                <w:sz w:val="24"/>
                <w:szCs w:val="24"/>
                <w:lang w:val="uk-UA"/>
              </w:rPr>
              <w:lastRenderedPageBreak/>
              <w:t>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2965168D" w14:textId="77777777" w:rsidR="009B227C" w:rsidRPr="005528B4" w:rsidRDefault="009B227C" w:rsidP="009B227C">
            <w:pPr>
              <w:pStyle w:val="rvps2"/>
              <w:shd w:val="clear" w:color="auto" w:fill="FFFFFF"/>
              <w:suppressAutoHyphens w:val="0"/>
              <w:spacing w:before="0" w:after="0"/>
              <w:contextualSpacing/>
              <w:jc w:val="both"/>
              <w:rPr>
                <w:b/>
                <w:color w:val="000000"/>
                <w:shd w:val="clear" w:color="auto" w:fill="FFFFFF"/>
                <w:lang w:val="uk-UA"/>
              </w:rPr>
            </w:pPr>
            <w:r w:rsidRPr="005528B4">
              <w:rPr>
                <w:b/>
                <w:color w:val="000000"/>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5528B4">
              <w:rPr>
                <w:b/>
                <w:color w:val="000000"/>
                <w:shd w:val="clear" w:color="auto" w:fill="FFFFFF"/>
                <w:lang w:val="uk-UA"/>
              </w:rPr>
              <w:t>.</w:t>
            </w:r>
          </w:p>
          <w:p w14:paraId="19C0F82D" w14:textId="52D8E91D" w:rsidR="007D6AD5" w:rsidRPr="00B84EFD" w:rsidRDefault="007D6AD5" w:rsidP="009B227C">
            <w:pPr>
              <w:pStyle w:val="rvps2"/>
              <w:shd w:val="clear" w:color="auto" w:fill="FFFFFF"/>
              <w:spacing w:before="0" w:after="0"/>
              <w:contextualSpacing/>
              <w:jc w:val="both"/>
              <w:rPr>
                <w:strike/>
                <w:color w:val="000000"/>
                <w:shd w:val="clear" w:color="auto" w:fill="FFFFFF"/>
                <w:lang w:val="uk-UA"/>
              </w:rPr>
            </w:pPr>
          </w:p>
        </w:tc>
        <w:tc>
          <w:tcPr>
            <w:tcW w:w="6946" w:type="dxa"/>
            <w:vAlign w:val="center"/>
          </w:tcPr>
          <w:p w14:paraId="0F85EEBD" w14:textId="77777777" w:rsidR="007D6AD5" w:rsidRPr="007D6AD5" w:rsidRDefault="007D6AD5" w:rsidP="007D6AD5">
            <w:pPr>
              <w:pStyle w:val="21"/>
              <w:spacing w:after="0" w:line="240" w:lineRule="auto"/>
              <w:ind w:left="-15" w:right="135"/>
              <w:contextualSpacing/>
              <w:jc w:val="both"/>
              <w:rPr>
                <w:rFonts w:ascii="Times New Roman" w:hAnsi="Times New Roman"/>
                <w:b/>
                <w:color w:val="000000"/>
                <w:sz w:val="24"/>
                <w:szCs w:val="24"/>
                <w:lang w:val="uk-UA"/>
              </w:rPr>
            </w:pPr>
            <w:r w:rsidRPr="007D6AD5">
              <w:rPr>
                <w:rFonts w:ascii="Times New Roman" w:hAnsi="Times New Roman"/>
                <w:b/>
                <w:color w:val="000000"/>
                <w:sz w:val="24"/>
                <w:szCs w:val="24"/>
                <w:lang w:val="uk-UA"/>
              </w:rPr>
              <w:lastRenderedPageBreak/>
              <w:t>Враховуючи вищевикладений пункт:</w:t>
            </w:r>
          </w:p>
          <w:p w14:paraId="20247385" w14:textId="4F708D93" w:rsidR="007D6AD5" w:rsidRPr="007D6AD5" w:rsidRDefault="007D6AD5" w:rsidP="007D6AD5">
            <w:pPr>
              <w:pStyle w:val="21"/>
              <w:spacing w:after="0" w:line="240" w:lineRule="auto"/>
              <w:ind w:left="-15" w:right="135"/>
              <w:contextualSpacing/>
              <w:jc w:val="both"/>
              <w:rPr>
                <w:rFonts w:ascii="Times New Roman" w:hAnsi="Times New Roman"/>
                <w:b/>
                <w:color w:val="000000"/>
                <w:sz w:val="24"/>
                <w:szCs w:val="24"/>
                <w:lang w:val="uk-UA"/>
              </w:rPr>
            </w:pPr>
            <w:r w:rsidRPr="007D6AD5">
              <w:rPr>
                <w:rFonts w:ascii="Times New Roman" w:hAnsi="Times New Roman"/>
                <w:color w:val="000000"/>
                <w:sz w:val="24"/>
                <w:szCs w:val="24"/>
                <w:lang w:val="uk-UA"/>
              </w:rPr>
              <w:t xml:space="preserve"> -</w:t>
            </w:r>
            <w:r w:rsidRPr="007D6AD5">
              <w:rPr>
                <w:rFonts w:ascii="Times New Roman" w:hAnsi="Times New Roman"/>
                <w:b/>
                <w:color w:val="000000"/>
                <w:sz w:val="24"/>
                <w:szCs w:val="24"/>
                <w:lang w:val="uk-UA"/>
              </w:rPr>
              <w:t xml:space="preserve"> Учасник процедури закупівлі в електронній системі </w:t>
            </w:r>
            <w:r w:rsidRPr="007D6AD5">
              <w:rPr>
                <w:rFonts w:ascii="Times New Roman" w:hAnsi="Times New Roman"/>
                <w:b/>
                <w:color w:val="000000"/>
                <w:sz w:val="24"/>
                <w:szCs w:val="24"/>
                <w:lang w:val="uk-UA"/>
              </w:rPr>
              <w:lastRenderedPageBreak/>
              <w:t>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1AFD9BCF" w14:textId="6FF8E3B3" w:rsidR="007D6AD5" w:rsidRPr="007D6AD5" w:rsidRDefault="007D6AD5" w:rsidP="007D6AD5">
            <w:pPr>
              <w:pStyle w:val="21"/>
              <w:spacing w:after="0" w:line="240" w:lineRule="auto"/>
              <w:ind w:left="-15" w:right="135"/>
              <w:contextualSpacing/>
              <w:jc w:val="both"/>
              <w:rPr>
                <w:rFonts w:ascii="Times New Roman" w:hAnsi="Times New Roman"/>
                <w:i/>
                <w:color w:val="000000"/>
                <w:sz w:val="24"/>
                <w:szCs w:val="24"/>
                <w:lang w:val="uk-UA"/>
              </w:rPr>
            </w:pPr>
            <w:r w:rsidRPr="007D6AD5">
              <w:rPr>
                <w:rFonts w:ascii="Times New Roman" w:hAnsi="Times New Roman"/>
                <w:b/>
                <w:color w:val="000000"/>
                <w:sz w:val="24"/>
                <w:szCs w:val="24"/>
                <w:lang w:val="uk-UA"/>
              </w:rPr>
              <w:t xml:space="preserve">- </w:t>
            </w:r>
            <w:r w:rsidRPr="007D6AD5">
              <w:rPr>
                <w:rFonts w:ascii="Times New Roman" w:hAnsi="Times New Roman"/>
                <w:b/>
                <w:bCs/>
                <w:color w:val="000000" w:themeColor="text1"/>
                <w:sz w:val="24"/>
                <w:szCs w:val="24"/>
              </w:rPr>
              <w:t>Учасник процедури закупівлі документально підтверджує відсутність підстав, передбачених абзацом чотирнадцятим  пункту 47 Особливостей.</w:t>
            </w:r>
            <w:r w:rsidRPr="007D6AD5">
              <w:rPr>
                <w:rFonts w:ascii="Times New Roman" w:hAnsi="Times New Roman"/>
                <w:b/>
                <w:bCs/>
                <w:color w:val="000000" w:themeColor="text1"/>
                <w:sz w:val="24"/>
                <w:szCs w:val="24"/>
                <w:lang w:val="uk-UA"/>
              </w:rPr>
              <w:t xml:space="preserve"> </w:t>
            </w:r>
            <w:r w:rsidRPr="007D6AD5">
              <w:rPr>
                <w:rFonts w:ascii="Times New Roman" w:hAnsi="Times New Roman"/>
                <w:i/>
                <w:color w:val="000000" w:themeColor="text1"/>
                <w:sz w:val="24"/>
                <w:szCs w:val="24"/>
                <w:lang w:val="uk-UA"/>
              </w:rPr>
              <w:t xml:space="preserve">На підтвердження відсутності підстав для відмови в процедурі закупівлі відповідно до абзацу 14 пункту 47 </w:t>
            </w:r>
            <w:r w:rsidRPr="007D6AD5">
              <w:rPr>
                <w:rFonts w:ascii="Times New Roman" w:hAnsi="Times New Roman"/>
                <w:i/>
                <w:iCs/>
                <w:color w:val="000000" w:themeColor="text1"/>
                <w:sz w:val="24"/>
                <w:szCs w:val="24"/>
                <w:lang w:val="uk-UA"/>
              </w:rPr>
              <w:t>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в складі своєї тендерної пропозиції надають гарантійний лист, з підписом уповноваженої особи Замовника про те, що між Учасником та Замовником відсутні невиконані зобов’язання за раніше укладеними договорами</w:t>
            </w:r>
            <w:r w:rsidRPr="007D6AD5">
              <w:rPr>
                <w:rFonts w:ascii="Times New Roman" w:hAnsi="Times New Roman"/>
                <w:b/>
                <w:bCs/>
                <w:i/>
                <w:iCs/>
                <w:color w:val="000000" w:themeColor="text1"/>
                <w:sz w:val="24"/>
                <w:szCs w:val="24"/>
                <w:lang w:val="uk-UA"/>
              </w:rPr>
              <w:t xml:space="preserve"> </w:t>
            </w:r>
            <w:r w:rsidRPr="007D6AD5">
              <w:rPr>
                <w:rFonts w:ascii="Times New Roman" w:hAnsi="Times New Roman"/>
                <w:i/>
                <w:iCs/>
                <w:color w:val="000000" w:themeColor="text1"/>
                <w:sz w:val="24"/>
                <w:szCs w:val="24"/>
                <w:lang w:val="uk-UA"/>
              </w:rPr>
              <w:t>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7DF7E713" w14:textId="77777777" w:rsidR="00B31274" w:rsidRPr="00B871AA" w:rsidRDefault="00B31274" w:rsidP="00077A71">
      <w:pPr>
        <w:shd w:val="clear" w:color="auto" w:fill="FFFFFF"/>
        <w:tabs>
          <w:tab w:val="left" w:pos="720"/>
        </w:tabs>
        <w:jc w:val="center"/>
        <w:rPr>
          <w:b/>
          <w:bCs/>
          <w:spacing w:val="1"/>
          <w:sz w:val="22"/>
          <w:szCs w:val="22"/>
        </w:rPr>
      </w:pPr>
    </w:p>
    <w:p w14:paraId="2A68C6F4" w14:textId="77777777" w:rsidR="00670560" w:rsidRDefault="00670560" w:rsidP="00077A71">
      <w:pPr>
        <w:shd w:val="clear" w:color="auto" w:fill="FFFFFF"/>
        <w:tabs>
          <w:tab w:val="left" w:pos="720"/>
        </w:tabs>
        <w:jc w:val="center"/>
        <w:rPr>
          <w:b/>
          <w:bCs/>
          <w:spacing w:val="1"/>
          <w:sz w:val="22"/>
          <w:szCs w:val="22"/>
        </w:rPr>
      </w:pPr>
    </w:p>
    <w:p w14:paraId="10A54CA5" w14:textId="77777777" w:rsidR="00670560" w:rsidRDefault="00670560" w:rsidP="00077A71">
      <w:pPr>
        <w:shd w:val="clear" w:color="auto" w:fill="FFFFFF"/>
        <w:tabs>
          <w:tab w:val="left" w:pos="720"/>
        </w:tabs>
        <w:jc w:val="center"/>
        <w:rPr>
          <w:b/>
          <w:bCs/>
          <w:spacing w:val="1"/>
          <w:sz w:val="22"/>
          <w:szCs w:val="22"/>
        </w:rPr>
      </w:pPr>
    </w:p>
    <w:p w14:paraId="307A0CCA" w14:textId="3C12F2A1"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EE702A" w:rsidRPr="00B871AA">
        <w:rPr>
          <w:b/>
          <w:bCs/>
          <w:spacing w:val="1"/>
          <w:sz w:val="22"/>
          <w:szCs w:val="22"/>
        </w:rPr>
        <w:t>_____________</w:t>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852B3"/>
    <w:multiLevelType w:val="hybridMultilevel"/>
    <w:tmpl w:val="1BAE6604"/>
    <w:lvl w:ilvl="0" w:tplc="229C00AC">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15:restartNumberingAfterBreak="0">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15:restartNumberingAfterBreak="0">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1"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2"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15:restartNumberingAfterBreak="0">
    <w:nsid w:val="521A6A81"/>
    <w:multiLevelType w:val="hybridMultilevel"/>
    <w:tmpl w:val="07D01C96"/>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6"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6"/>
  </w:num>
  <w:num w:numId="10">
    <w:abstractNumId w:val="15"/>
  </w:num>
  <w:num w:numId="11">
    <w:abstractNumId w:val="3"/>
  </w:num>
  <w:num w:numId="12">
    <w:abstractNumId w:val="16"/>
  </w:num>
  <w:num w:numId="13">
    <w:abstractNumId w:val="9"/>
  </w:num>
  <w:num w:numId="14">
    <w:abstractNumId w:val="14"/>
  </w:num>
  <w:num w:numId="15">
    <w:abstractNumId w:val="8"/>
  </w:num>
  <w:num w:numId="16">
    <w:abstractNumId w:val="4"/>
  </w:num>
  <w:num w:numId="17">
    <w:abstractNumId w:val="2"/>
  </w:num>
  <w:num w:numId="18">
    <w:abstractNumId w:val="17"/>
  </w:num>
  <w:num w:numId="19">
    <w:abstractNumId w:val="18"/>
  </w:num>
  <w:num w:numId="20">
    <w:abstractNumId w:val="7"/>
  </w:num>
  <w:num w:numId="21">
    <w:abstractNumId w:val="5"/>
  </w:num>
  <w:num w:numId="22">
    <w:abstractNumId w:val="13"/>
  </w:num>
  <w:num w:numId="23">
    <w:abstractNumId w:val="9"/>
  </w:num>
  <w:num w:numId="24">
    <w:abstractNumId w:val="13"/>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C2EFD"/>
    <w:rsid w:val="000D4507"/>
    <w:rsid w:val="000E306E"/>
    <w:rsid w:val="000E3199"/>
    <w:rsid w:val="000E3FD1"/>
    <w:rsid w:val="000F43AD"/>
    <w:rsid w:val="00103B01"/>
    <w:rsid w:val="001138C4"/>
    <w:rsid w:val="001469C9"/>
    <w:rsid w:val="001470B6"/>
    <w:rsid w:val="0016209F"/>
    <w:rsid w:val="001C0CCB"/>
    <w:rsid w:val="001C416F"/>
    <w:rsid w:val="001C4889"/>
    <w:rsid w:val="001D7856"/>
    <w:rsid w:val="001F55A0"/>
    <w:rsid w:val="00237659"/>
    <w:rsid w:val="002A7E97"/>
    <w:rsid w:val="002D0500"/>
    <w:rsid w:val="002D2BC5"/>
    <w:rsid w:val="002F4232"/>
    <w:rsid w:val="002F54CC"/>
    <w:rsid w:val="002F6AF6"/>
    <w:rsid w:val="00311801"/>
    <w:rsid w:val="0031762F"/>
    <w:rsid w:val="00323DFC"/>
    <w:rsid w:val="003510AA"/>
    <w:rsid w:val="003B4E84"/>
    <w:rsid w:val="003F6CC1"/>
    <w:rsid w:val="00436EA4"/>
    <w:rsid w:val="004422BB"/>
    <w:rsid w:val="00476F09"/>
    <w:rsid w:val="00477D11"/>
    <w:rsid w:val="004924A9"/>
    <w:rsid w:val="004972E0"/>
    <w:rsid w:val="004B4A62"/>
    <w:rsid w:val="004B71E5"/>
    <w:rsid w:val="004D3917"/>
    <w:rsid w:val="004E24AC"/>
    <w:rsid w:val="004F1DAA"/>
    <w:rsid w:val="004F38C1"/>
    <w:rsid w:val="00502010"/>
    <w:rsid w:val="00553016"/>
    <w:rsid w:val="00554FC9"/>
    <w:rsid w:val="005904F2"/>
    <w:rsid w:val="005E38E8"/>
    <w:rsid w:val="005F56CC"/>
    <w:rsid w:val="00670560"/>
    <w:rsid w:val="00680296"/>
    <w:rsid w:val="006D0CAA"/>
    <w:rsid w:val="007311E9"/>
    <w:rsid w:val="00732F4D"/>
    <w:rsid w:val="00742AC2"/>
    <w:rsid w:val="00750491"/>
    <w:rsid w:val="00757E99"/>
    <w:rsid w:val="007A1629"/>
    <w:rsid w:val="007D6AD5"/>
    <w:rsid w:val="007E1044"/>
    <w:rsid w:val="007E603A"/>
    <w:rsid w:val="00815A8A"/>
    <w:rsid w:val="00870BB2"/>
    <w:rsid w:val="00882FC7"/>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7066E"/>
    <w:rsid w:val="0098535D"/>
    <w:rsid w:val="00990F3E"/>
    <w:rsid w:val="009B227C"/>
    <w:rsid w:val="009B533C"/>
    <w:rsid w:val="009C73E1"/>
    <w:rsid w:val="009E6795"/>
    <w:rsid w:val="00A24DB4"/>
    <w:rsid w:val="00A27F4C"/>
    <w:rsid w:val="00A80374"/>
    <w:rsid w:val="00A83C45"/>
    <w:rsid w:val="00AA332C"/>
    <w:rsid w:val="00AB5855"/>
    <w:rsid w:val="00AC7304"/>
    <w:rsid w:val="00AD3F09"/>
    <w:rsid w:val="00AF1490"/>
    <w:rsid w:val="00B228EE"/>
    <w:rsid w:val="00B31274"/>
    <w:rsid w:val="00B37DED"/>
    <w:rsid w:val="00B84EFD"/>
    <w:rsid w:val="00B871AA"/>
    <w:rsid w:val="00B910A4"/>
    <w:rsid w:val="00B97EF6"/>
    <w:rsid w:val="00BB1672"/>
    <w:rsid w:val="00BB496E"/>
    <w:rsid w:val="00BE7B00"/>
    <w:rsid w:val="00C9049B"/>
    <w:rsid w:val="00C9455C"/>
    <w:rsid w:val="00CA1363"/>
    <w:rsid w:val="00CD35F6"/>
    <w:rsid w:val="00CE3061"/>
    <w:rsid w:val="00D84812"/>
    <w:rsid w:val="00D925E6"/>
    <w:rsid w:val="00D93A2A"/>
    <w:rsid w:val="00D9465B"/>
    <w:rsid w:val="00DB69F5"/>
    <w:rsid w:val="00DC57B4"/>
    <w:rsid w:val="00DE4E7F"/>
    <w:rsid w:val="00E01462"/>
    <w:rsid w:val="00E02FE8"/>
    <w:rsid w:val="00E422BC"/>
    <w:rsid w:val="00E4698E"/>
    <w:rsid w:val="00E6275C"/>
    <w:rsid w:val="00E71699"/>
    <w:rsid w:val="00EA6930"/>
    <w:rsid w:val="00EA71FA"/>
    <w:rsid w:val="00EB2D83"/>
    <w:rsid w:val="00EE479C"/>
    <w:rsid w:val="00EE702A"/>
    <w:rsid w:val="00F81827"/>
    <w:rsid w:val="00FA24BE"/>
    <w:rsid w:val="00FB3765"/>
    <w:rsid w:val="00FC2E09"/>
    <w:rsid w:val="00FE3E93"/>
    <w:rsid w:val="00FE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15:docId w15:val="{167B7435-1F76-42A3-9EED-B0896037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71"/>
    <w:pPr>
      <w:suppressAutoHyphens/>
    </w:pPr>
    <w:rPr>
      <w:rFonts w:ascii="Times New Roman" w:eastAsia="Times New Roman" w:hAnsi="Times New Roman"/>
      <w:sz w:val="24"/>
      <w:szCs w:val="24"/>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1"/>
    <w:uiPriority w:val="34"/>
    <w:qFormat/>
    <w:rsid w:val="008D3271"/>
    <w:pPr>
      <w:ind w:left="720"/>
      <w:contextualSpacing/>
    </w:pPr>
  </w:style>
  <w:style w:type="character" w:styleId="Hyperlink">
    <w:name w:val="Hyperlink"/>
    <w:uiPriority w:val="99"/>
    <w:rsid w:val="00E422BC"/>
    <w:rPr>
      <w:color w:val="0000FF"/>
      <w:u w:val="single"/>
    </w:rPr>
  </w:style>
  <w:style w:type="paragraph" w:customStyle="1" w:styleId="rvps2">
    <w:name w:val="rvps2"/>
    <w:basedOn w:val="Normal"/>
    <w:qFormat/>
    <w:rsid w:val="00E422BC"/>
    <w:pPr>
      <w:spacing w:before="280" w:after="280"/>
    </w:pPr>
    <w:rPr>
      <w:lang w:val="ru-RU" w:eastAsia="zh-CN"/>
    </w:rPr>
  </w:style>
  <w:style w:type="character" w:customStyle="1" w:styleId="ListParagraphChar1">
    <w:name w:val="List Paragraph Char1"/>
    <w:link w:val="ListParagraph"/>
    <w:uiPriority w:val="34"/>
    <w:locked/>
    <w:rsid w:val="00FA24BE"/>
    <w:rPr>
      <w:rFonts w:ascii="Times New Roman" w:eastAsia="Times New Roman" w:hAnsi="Times New Roman"/>
      <w:sz w:val="24"/>
      <w:szCs w:val="24"/>
      <w:lang w:val="uk-UA" w:eastAsia="ar-SA"/>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Normal"/>
    <w:link w:val="NormalWebChar"/>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Normal"/>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Normal"/>
    <w:rsid w:val="00750491"/>
    <w:pPr>
      <w:suppressAutoHyphens w:val="0"/>
      <w:spacing w:after="120" w:line="480" w:lineRule="auto"/>
      <w:ind w:left="283"/>
    </w:pPr>
    <w:rPr>
      <w:rFonts w:ascii="Calibri" w:hAnsi="Calibri" w:cs="Calibri"/>
      <w:sz w:val="22"/>
      <w:szCs w:val="22"/>
      <w:lang w:val="ru-RU"/>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750491"/>
    <w:rPr>
      <w:rFonts w:eastAsia="Times New Roman"/>
      <w:kern w:val="3"/>
      <w:sz w:val="22"/>
      <w:szCs w:val="22"/>
      <w:lang w:val="uk-UA" w:eastAsia="uk-UA"/>
    </w:rPr>
  </w:style>
  <w:style w:type="table" w:styleId="TableGrid">
    <w:name w:val="Table Grid"/>
    <w:basedOn w:val="TableNormal"/>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0296"/>
    <w:pPr>
      <w:spacing w:after="120" w:line="480" w:lineRule="auto"/>
      <w:ind w:left="283"/>
    </w:pPr>
  </w:style>
  <w:style w:type="character" w:customStyle="1" w:styleId="BodyTextIndent2Char">
    <w:name w:val="Body Text Indent 2 Char"/>
    <w:basedOn w:val="DefaultParagraphFont"/>
    <w:link w:val="BodyTextIndent2"/>
    <w:uiPriority w:val="99"/>
    <w:semiHidden/>
    <w:rsid w:val="00680296"/>
    <w:rPr>
      <w:rFonts w:ascii="Times New Roman" w:eastAsia="Times New Roman" w:hAnsi="Times New Roman"/>
      <w:sz w:val="24"/>
      <w:szCs w:val="24"/>
      <w:lang w:val="uk-UA" w:eastAsia="ar-SA"/>
    </w:rPr>
  </w:style>
  <w:style w:type="paragraph" w:styleId="BodyText">
    <w:name w:val="Body Text"/>
    <w:basedOn w:val="Normal"/>
    <w:link w:val="BodyTextChar"/>
    <w:uiPriority w:val="99"/>
    <w:semiHidden/>
    <w:unhideWhenUsed/>
    <w:rsid w:val="00930C61"/>
    <w:pPr>
      <w:spacing w:after="120"/>
    </w:pPr>
  </w:style>
  <w:style w:type="character" w:customStyle="1" w:styleId="BodyTextChar">
    <w:name w:val="Body Text Char"/>
    <w:basedOn w:val="DefaultParagraphFont"/>
    <w:link w:val="BodyText"/>
    <w:uiPriority w:val="99"/>
    <w:semiHidden/>
    <w:rsid w:val="00930C61"/>
    <w:rPr>
      <w:rFonts w:ascii="Times New Roman" w:eastAsia="Times New Roman" w:hAnsi="Times New Roman"/>
      <w:sz w:val="24"/>
      <w:szCs w:val="24"/>
      <w:lang w:val="uk-UA" w:eastAsia="ar-SA"/>
    </w:rPr>
  </w:style>
  <w:style w:type="paragraph" w:customStyle="1" w:styleId="2">
    <w:name w:val="Абзац списка2"/>
    <w:basedOn w:val="Normal"/>
    <w:rsid w:val="00930C61"/>
    <w:pPr>
      <w:ind w:left="720"/>
      <w:contextualSpacing/>
    </w:pPr>
    <w:rPr>
      <w:rFonts w:ascii="Liberation Serif" w:eastAsia="SimSun" w:hAnsi="Liberation Serif" w:cs="Mangal"/>
      <w:kern w:val="2"/>
      <w:lang w:eastAsia="zh-CN" w:bidi="hi-IN"/>
    </w:rPr>
  </w:style>
  <w:style w:type="paragraph" w:customStyle="1" w:styleId="a">
    <w:name w:val="Содержимое таблицы"/>
    <w:basedOn w:val="Normal"/>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Normal"/>
    <w:rsid w:val="00B871AA"/>
    <w:pPr>
      <w:widowControl w:val="0"/>
      <w:autoSpaceDE w:val="0"/>
    </w:pPr>
    <w:rPr>
      <w:lang w:eastAsia="en-US"/>
    </w:rPr>
  </w:style>
  <w:style w:type="paragraph" w:styleId="BalloonText">
    <w:name w:val="Balloon Text"/>
    <w:basedOn w:val="Normal"/>
    <w:link w:val="BalloonTextChar"/>
    <w:uiPriority w:val="99"/>
    <w:semiHidden/>
    <w:unhideWhenUsed/>
    <w:rsid w:val="00742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
    <w:name w:val="Основной текст с отступом 21"/>
    <w:basedOn w:val="Normal"/>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Normal"/>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character" w:customStyle="1" w:styleId="WW8Num1z2">
    <w:name w:val="WW8Num1z2"/>
    <w:rsid w:val="007D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035C-256E-457B-8C37-A92A953B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7317</Words>
  <Characters>4172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119</cp:revision>
  <cp:lastPrinted>2022-12-13T05:41:00Z</cp:lastPrinted>
  <dcterms:created xsi:type="dcterms:W3CDTF">2020-03-25T13:50:00Z</dcterms:created>
  <dcterms:modified xsi:type="dcterms:W3CDTF">2024-03-01T15:12:00Z</dcterms:modified>
</cp:coreProperties>
</file>