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F9" w:rsidRDefault="00F57F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F2EF9" w:rsidRDefault="00F57F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F2EF9" w:rsidRDefault="00F57F7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F2EF9" w:rsidRDefault="00EF2EF9">
      <w:pPr>
        <w:spacing w:before="240" w:after="0" w:line="240" w:lineRule="auto"/>
        <w:jc w:val="center"/>
        <w:rPr>
          <w:rFonts w:ascii="Times New Roman" w:eastAsia="Times New Roman" w:hAnsi="Times New Roman" w:cs="Times New Roman"/>
          <w:b/>
          <w:i/>
          <w:color w:val="000000"/>
          <w:sz w:val="4"/>
          <w:szCs w:val="4"/>
        </w:rPr>
      </w:pPr>
    </w:p>
    <w:p w:rsidR="00EF2EF9" w:rsidRDefault="00F57F7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13685" w:rsidRDefault="00113685" w:rsidP="00113685">
      <w:pPr>
        <w:spacing w:after="120"/>
        <w:ind w:firstLine="540"/>
        <w:jc w:val="center"/>
        <w:rPr>
          <w:rFonts w:ascii="Times New Roman" w:eastAsia="Times New Roman" w:hAnsi="Times New Roman" w:cs="Times New Roman"/>
          <w:b/>
          <w:i/>
          <w:sz w:val="24"/>
          <w:szCs w:val="24"/>
        </w:rPr>
      </w:pPr>
      <w:r w:rsidRPr="00113685">
        <w:rPr>
          <w:rFonts w:ascii="Times New Roman" w:eastAsia="Times New Roman" w:hAnsi="Times New Roman" w:cs="Times New Roman"/>
          <w:b/>
          <w:i/>
          <w:sz w:val="24"/>
          <w:szCs w:val="24"/>
        </w:rPr>
        <w:t>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w:t>
      </w:r>
    </w:p>
    <w:p w:rsidR="00432BFF" w:rsidRPr="00432BFF" w:rsidRDefault="00432BFF" w:rsidP="00432BFF">
      <w:pPr>
        <w:spacing w:after="120"/>
        <w:ind w:firstLine="54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xml:space="preserve">1. </w:t>
      </w:r>
      <w:r w:rsidRPr="00E12869">
        <w:rPr>
          <w:rFonts w:ascii="Times New Roman" w:eastAsia="Times New Roman" w:hAnsi="Times New Roman" w:cs="Times New Roman"/>
          <w:sz w:val="24"/>
          <w:szCs w:val="24"/>
          <w:lang w:eastAsia="en-US"/>
        </w:rPr>
        <w:t xml:space="preserve">Харчування дітей у закладах </w:t>
      </w:r>
      <w:r w:rsidR="00C076CC" w:rsidRPr="00E12869">
        <w:rPr>
          <w:rFonts w:ascii="Times New Roman" w:eastAsia="Times New Roman" w:hAnsi="Times New Roman" w:cs="Times New Roman"/>
          <w:sz w:val="24"/>
          <w:szCs w:val="24"/>
          <w:lang w:eastAsia="en-US"/>
        </w:rPr>
        <w:t xml:space="preserve">загальної середньої </w:t>
      </w:r>
      <w:r w:rsidRPr="00E12869">
        <w:rPr>
          <w:rFonts w:ascii="Times New Roman" w:eastAsia="Times New Roman" w:hAnsi="Times New Roman" w:cs="Times New Roman"/>
          <w:sz w:val="24"/>
          <w:szCs w:val="24"/>
          <w:lang w:eastAsia="en-US"/>
        </w:rPr>
        <w:t xml:space="preserve">освіти здійснюється </w:t>
      </w:r>
      <w:r w:rsidRPr="00432BFF">
        <w:rPr>
          <w:rFonts w:ascii="Times New Roman" w:eastAsia="Times New Roman" w:hAnsi="Times New Roman" w:cs="Times New Roman"/>
          <w:sz w:val="24"/>
          <w:szCs w:val="24"/>
          <w:lang w:eastAsia="en-US"/>
        </w:rPr>
        <w:t>відповідно:</w:t>
      </w:r>
    </w:p>
    <w:p w:rsidR="00432BFF" w:rsidRPr="00C21ED2" w:rsidRDefault="00432BFF" w:rsidP="00432BFF">
      <w:pPr>
        <w:spacing w:after="120"/>
        <w:ind w:firstLine="540"/>
        <w:jc w:val="both"/>
        <w:rPr>
          <w:rFonts w:ascii="Times New Roman" w:eastAsia="Times New Roman" w:hAnsi="Times New Roman" w:cs="Times New Roman"/>
          <w:sz w:val="24"/>
          <w:szCs w:val="24"/>
          <w:u w:val="single"/>
          <w:lang w:eastAsia="en-US"/>
        </w:rPr>
      </w:pPr>
      <w:r w:rsidRPr="00432BFF">
        <w:rPr>
          <w:rFonts w:ascii="Times New Roman" w:eastAsia="Times New Roman" w:hAnsi="Times New Roman" w:cs="Times New Roman"/>
          <w:sz w:val="24"/>
          <w:szCs w:val="24"/>
          <w:lang w:eastAsia="en-US"/>
        </w:rPr>
        <w:t xml:space="preserve">- </w:t>
      </w:r>
      <w:r w:rsidRPr="00432BFF">
        <w:rPr>
          <w:rFonts w:ascii="Times New Roman" w:eastAsia="Times New Roman" w:hAnsi="Times New Roman" w:cs="Times New Roman"/>
          <w:b/>
          <w:sz w:val="24"/>
          <w:szCs w:val="24"/>
          <w:lang w:eastAsia="en-US"/>
        </w:rPr>
        <w:t>Норм та Порядку</w:t>
      </w:r>
      <w:r w:rsidRPr="00432BFF">
        <w:rPr>
          <w:rFonts w:ascii="Times New Roman" w:eastAsia="Times New Roman" w:hAnsi="Times New Roman" w:cs="Times New Roman"/>
          <w:sz w:val="24"/>
          <w:szCs w:val="24"/>
          <w:lang w:eastAsia="en-US"/>
        </w:rPr>
        <w:t xml:space="preserve"> організації харчування у закладах освіти згідно діючого нормативного законодавства. </w:t>
      </w:r>
      <w:bookmarkStart w:id="0" w:name="n171"/>
      <w:bookmarkEnd w:id="0"/>
      <w:r w:rsidR="00C21ED2" w:rsidRPr="00C21ED2">
        <w:rPr>
          <w:rFonts w:ascii="Times New Roman" w:eastAsia="Times New Roman" w:hAnsi="Times New Roman" w:cs="Times New Roman"/>
          <w:sz w:val="24"/>
          <w:szCs w:val="24"/>
          <w:u w:val="single"/>
          <w:lang w:eastAsia="en-US"/>
        </w:rPr>
        <w:t xml:space="preserve">Дотримання вимог Постанови КМУ </w:t>
      </w:r>
      <w:r w:rsidR="00C21ED2" w:rsidRPr="00C21ED2">
        <w:rPr>
          <w:rFonts w:ascii="Times New Roman" w:hAnsi="Times New Roman" w:cs="Times New Roman"/>
          <w:bCs/>
          <w:u w:val="single"/>
          <w:shd w:val="clear" w:color="auto" w:fill="FFFFFF"/>
        </w:rPr>
        <w:t>від 24 березня 2021 р. № 305</w:t>
      </w:r>
      <w:r w:rsidR="00C21ED2" w:rsidRPr="00C21ED2">
        <w:rPr>
          <w:b/>
          <w:bCs/>
          <w:u w:val="single"/>
          <w:shd w:val="clear" w:color="auto" w:fill="FFFFFF"/>
        </w:rPr>
        <w:t xml:space="preserve"> </w:t>
      </w:r>
      <w:r w:rsidR="00C21ED2" w:rsidRPr="00C21ED2">
        <w:rPr>
          <w:rFonts w:ascii="Times New Roman" w:eastAsia="Times New Roman" w:hAnsi="Times New Roman" w:cs="Times New Roman"/>
          <w:sz w:val="24"/>
          <w:szCs w:val="24"/>
          <w:u w:val="single"/>
          <w:lang w:eastAsia="en-US"/>
        </w:rPr>
        <w:t>«Про затвердження норм та Порядку організації харчування у закладах освіти та дитячих закладах оздоровлення та відпочинку»</w:t>
      </w:r>
      <w:r w:rsidR="00C21ED2">
        <w:rPr>
          <w:rFonts w:ascii="Times New Roman" w:eastAsia="Times New Roman" w:hAnsi="Times New Roman" w:cs="Times New Roman"/>
          <w:sz w:val="24"/>
          <w:szCs w:val="24"/>
          <w:u w:val="single"/>
          <w:lang w:eastAsia="en-US"/>
        </w:rPr>
        <w:t>.</w:t>
      </w:r>
    </w:p>
    <w:p w:rsidR="00432BFF" w:rsidRPr="00432BFF" w:rsidRDefault="00432BFF" w:rsidP="00432BFF">
      <w:pPr>
        <w:spacing w:line="240" w:lineRule="auto"/>
        <w:ind w:firstLine="54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Закону України </w:t>
      </w:r>
      <w:hyperlink r:id="rId6" w:tgtFrame="_blank" w:history="1">
        <w:r w:rsidRPr="00432BFF">
          <w:rPr>
            <w:rFonts w:ascii="Times New Roman" w:eastAsia="Times New Roman" w:hAnsi="Times New Roman" w:cs="Times New Roman"/>
            <w:sz w:val="24"/>
            <w:szCs w:val="24"/>
            <w:lang w:eastAsia="en-US"/>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432BFF">
        <w:rPr>
          <w:rFonts w:ascii="Times New Roman" w:eastAsia="Times New Roman" w:hAnsi="Times New Roman" w:cs="Times New Roman"/>
          <w:sz w:val="24"/>
          <w:szCs w:val="24"/>
          <w:lang w:eastAsia="en-US"/>
        </w:rPr>
        <w:t> від 18.05.2017 № 2042-VIII,</w:t>
      </w:r>
    </w:p>
    <w:p w:rsidR="00432BFF" w:rsidRPr="00432BFF" w:rsidRDefault="00432BFF" w:rsidP="00432BFF">
      <w:pPr>
        <w:spacing w:line="240" w:lineRule="auto"/>
        <w:ind w:firstLine="540"/>
        <w:jc w:val="both"/>
        <w:rPr>
          <w:rFonts w:ascii="Times New Roman" w:eastAsia="Times New Roman" w:hAnsi="Times New Roman" w:cs="Times New Roman"/>
          <w:b/>
          <w:sz w:val="24"/>
          <w:szCs w:val="24"/>
          <w:u w:val="single"/>
          <w:lang w:eastAsia="en-US"/>
        </w:rPr>
      </w:pPr>
      <w:r w:rsidRPr="00432BFF">
        <w:rPr>
          <w:rFonts w:ascii="Times New Roman" w:eastAsia="Times New Roman" w:hAnsi="Times New Roman" w:cs="Times New Roman"/>
          <w:sz w:val="24"/>
          <w:szCs w:val="24"/>
          <w:u w:val="single"/>
          <w:lang w:eastAsia="en-US"/>
        </w:rPr>
        <w:t>- Закону України </w:t>
      </w:r>
      <w:hyperlink r:id="rId7" w:anchor="dfasdnvg1k" w:tgtFrame="_blank" w:history="1">
        <w:r w:rsidRPr="00432BFF">
          <w:rPr>
            <w:rFonts w:ascii="Times New Roman" w:eastAsia="Times New Roman" w:hAnsi="Times New Roman" w:cs="Times New Roman"/>
            <w:sz w:val="24"/>
            <w:szCs w:val="24"/>
            <w:u w:val="single"/>
            <w:lang w:eastAsia="en-US"/>
          </w:rPr>
          <w:t>«Про основні принципи та вимоги до безпечності та якості харчових продуктів»</w:t>
        </w:r>
      </w:hyperlink>
      <w:r w:rsidRPr="00432BFF">
        <w:rPr>
          <w:rFonts w:ascii="Times New Roman" w:eastAsia="Times New Roman" w:hAnsi="Times New Roman" w:cs="Times New Roman"/>
          <w:sz w:val="24"/>
          <w:szCs w:val="24"/>
          <w:u w:val="single"/>
          <w:lang w:eastAsia="en-US"/>
        </w:rPr>
        <w:t> від 23.12.1997 № 771/97-</w:t>
      </w:r>
      <w:r w:rsidRPr="00F6368A">
        <w:rPr>
          <w:rFonts w:ascii="Times New Roman" w:eastAsia="Times New Roman" w:hAnsi="Times New Roman" w:cs="Times New Roman"/>
          <w:sz w:val="24"/>
          <w:szCs w:val="24"/>
          <w:u w:val="single"/>
          <w:lang w:eastAsia="en-US"/>
        </w:rPr>
        <w:t xml:space="preserve">ВР . Дотримання основних вимог </w:t>
      </w:r>
      <w:r w:rsidRPr="00F6368A">
        <w:rPr>
          <w:rFonts w:eastAsia="Times New Roman" w:cs="Times New Roman"/>
          <w:u w:val="single"/>
          <w:lang w:eastAsia="en-US"/>
        </w:rPr>
        <w:t>НАССР.</w:t>
      </w:r>
    </w:p>
    <w:p w:rsidR="00432BFF" w:rsidRPr="00432BFF" w:rsidRDefault="0073167A" w:rsidP="00432BFF">
      <w:pPr>
        <w:spacing w:line="240" w:lineRule="auto"/>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Наказу Мінаг</w:t>
      </w:r>
      <w:r w:rsidR="00432BFF" w:rsidRPr="00432BFF">
        <w:rPr>
          <w:rFonts w:ascii="Times New Roman" w:eastAsia="Times New Roman" w:hAnsi="Times New Roman" w:cs="Times New Roman"/>
          <w:sz w:val="24"/>
          <w:szCs w:val="24"/>
          <w:lang w:eastAsia="en-US"/>
        </w:rPr>
        <w:t>роп</w:t>
      </w:r>
      <w:r>
        <w:rPr>
          <w:rFonts w:ascii="Times New Roman" w:eastAsia="Times New Roman" w:hAnsi="Times New Roman" w:cs="Times New Roman"/>
          <w:sz w:val="24"/>
          <w:szCs w:val="24"/>
          <w:lang w:eastAsia="en-US"/>
        </w:rPr>
        <w:t>о</w:t>
      </w:r>
      <w:r w:rsidR="00432BFF" w:rsidRPr="00432BFF">
        <w:rPr>
          <w:rFonts w:ascii="Times New Roman" w:eastAsia="Times New Roman" w:hAnsi="Times New Roman" w:cs="Times New Roman"/>
          <w:sz w:val="24"/>
          <w:szCs w:val="24"/>
          <w:lang w:eastAsia="en-US"/>
        </w:rPr>
        <w:t>літики </w:t>
      </w:r>
      <w:hyperlink r:id="rId8" w:anchor="dfasx8kemy" w:tgtFrame="_blank" w:history="1">
        <w:r w:rsidR="00432BFF" w:rsidRPr="00432BFF">
          <w:rPr>
            <w:rFonts w:ascii="Times New Roman" w:eastAsia="Times New Roman" w:hAnsi="Times New Roman" w:cs="Times New Roman"/>
            <w:sz w:val="24"/>
            <w:szCs w:val="24"/>
            <w:lang w:eastAsia="en-US"/>
          </w:rPr>
          <w:t>«Про затв</w:t>
        </w:r>
        <w:r w:rsidR="009E3F5E">
          <w:rPr>
            <w:rFonts w:ascii="Times New Roman" w:eastAsia="Times New Roman" w:hAnsi="Times New Roman" w:cs="Times New Roman"/>
            <w:sz w:val="24"/>
            <w:szCs w:val="24"/>
            <w:lang w:eastAsia="en-US"/>
          </w:rPr>
          <w:t xml:space="preserve">ердження форми </w:t>
        </w:r>
        <w:proofErr w:type="spellStart"/>
        <w:r w:rsidR="009E3F5E">
          <w:rPr>
            <w:rFonts w:ascii="Times New Roman" w:eastAsia="Times New Roman" w:hAnsi="Times New Roman" w:cs="Times New Roman"/>
            <w:sz w:val="24"/>
            <w:szCs w:val="24"/>
            <w:lang w:eastAsia="en-US"/>
          </w:rPr>
          <w:t>акта</w:t>
        </w:r>
        <w:proofErr w:type="spellEnd"/>
        <w:r w:rsidR="00432BFF" w:rsidRPr="00432BFF">
          <w:rPr>
            <w:rFonts w:ascii="Times New Roman" w:eastAsia="Times New Roman" w:hAnsi="Times New Roman" w:cs="Times New Roman"/>
            <w:sz w:val="24"/>
            <w:szCs w:val="24"/>
            <w:lang w:eastAsia="en-US"/>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hyperlink>
      <w:r w:rsidR="00432BFF" w:rsidRPr="00432BFF">
        <w:rPr>
          <w:rFonts w:ascii="Times New Roman" w:eastAsia="Times New Roman" w:hAnsi="Times New Roman" w:cs="Times New Roman"/>
          <w:sz w:val="24"/>
          <w:szCs w:val="24"/>
          <w:lang w:eastAsia="en-US"/>
        </w:rPr>
        <w:t xml:space="preserve"> від 08.08.2019 № 447 </w:t>
      </w:r>
    </w:p>
    <w:p w:rsidR="00432BFF" w:rsidRPr="00432BFF" w:rsidRDefault="00432BFF" w:rsidP="00432BFF">
      <w:pPr>
        <w:spacing w:line="240" w:lineRule="auto"/>
        <w:ind w:firstLine="54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Наказу Мінагрополітики </w:t>
      </w:r>
      <w:hyperlink r:id="rId9" w:anchor="bssPhr4" w:tgtFrame="_blank" w:history="1">
        <w:r w:rsidRPr="00432BFF">
          <w:rPr>
            <w:rFonts w:ascii="Times New Roman" w:eastAsia="Times New Roman" w:hAnsi="Times New Roman" w:cs="Times New Roman"/>
            <w:sz w:val="24"/>
            <w:szCs w:val="24"/>
            <w:lang w:eastAsia="en-US"/>
          </w:rPr>
          <w:t>«Про затвердження форми акта, складеного за результатами проведення заходу державного контролю у формі аудиту постійно</w:t>
        </w:r>
        <w:r w:rsidR="009E3F5E">
          <w:rPr>
            <w:rFonts w:ascii="Times New Roman" w:eastAsia="Times New Roman" w:hAnsi="Times New Roman" w:cs="Times New Roman"/>
            <w:sz w:val="24"/>
            <w:szCs w:val="24"/>
            <w:lang w:eastAsia="en-US"/>
          </w:rPr>
          <w:t xml:space="preserve"> </w:t>
        </w:r>
        <w:r w:rsidRPr="00432BFF">
          <w:rPr>
            <w:rFonts w:ascii="Times New Roman" w:eastAsia="Times New Roman" w:hAnsi="Times New Roman" w:cs="Times New Roman"/>
            <w:sz w:val="24"/>
            <w:szCs w:val="24"/>
            <w:lang w:eastAsia="en-US"/>
          </w:rPr>
          <w:t>діючих процедур, заснованих на принципах НАССР»</w:t>
        </w:r>
      </w:hyperlink>
      <w:r w:rsidRPr="00432BFF">
        <w:rPr>
          <w:rFonts w:ascii="Times New Roman" w:eastAsia="Times New Roman" w:hAnsi="Times New Roman" w:cs="Times New Roman"/>
          <w:sz w:val="24"/>
          <w:szCs w:val="24"/>
          <w:lang w:eastAsia="en-US"/>
        </w:rPr>
        <w:t xml:space="preserve"> від 08.08.2019 № 446 </w:t>
      </w:r>
    </w:p>
    <w:p w:rsidR="00432BFF" w:rsidRPr="00432BFF" w:rsidRDefault="00432BFF" w:rsidP="00432BFF">
      <w:pPr>
        <w:spacing w:line="240" w:lineRule="auto"/>
        <w:ind w:firstLine="54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xml:space="preserve">- </w:t>
      </w:r>
      <w:hyperlink r:id="rId10" w:anchor="dfasrkm8yx" w:tgtFrame="_blank" w:history="1">
        <w:r w:rsidRPr="00432BFF">
          <w:rPr>
            <w:rFonts w:ascii="Times New Roman" w:eastAsia="Times New Roman" w:hAnsi="Times New Roman" w:cs="Times New Roman"/>
            <w:sz w:val="24"/>
            <w:szCs w:val="24"/>
            <w:lang w:eastAsia="en-US"/>
          </w:rPr>
          <w:t>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hyperlink>
      <w:r w:rsidRPr="00432BFF">
        <w:rPr>
          <w:rFonts w:ascii="Times New Roman" w:eastAsia="Times New Roman" w:hAnsi="Times New Roman" w:cs="Times New Roman"/>
          <w:sz w:val="24"/>
          <w:szCs w:val="24"/>
          <w:lang w:eastAsia="en-US"/>
        </w:rPr>
        <w:t>, затвердженого наказом Мінагрополітики від 10.02.2016 № 39</w:t>
      </w:r>
    </w:p>
    <w:p w:rsidR="00432BFF" w:rsidRPr="00432BFF" w:rsidRDefault="00432BFF" w:rsidP="00432BFF">
      <w:pPr>
        <w:spacing w:line="240" w:lineRule="auto"/>
        <w:ind w:firstLine="54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Методичних рекомендацій щодо методології особливостей здійснення закупівель у сфері організації харчування в закладах освіти (</w:t>
      </w:r>
      <w:hyperlink r:id="rId11" w:tgtFrame="_blank" w:history="1">
        <w:r w:rsidRPr="00432BFF">
          <w:rPr>
            <w:rFonts w:ascii="Times New Roman" w:eastAsia="Times New Roman" w:hAnsi="Times New Roman" w:cs="Times New Roman"/>
            <w:sz w:val="24"/>
            <w:szCs w:val="24"/>
            <w:lang w:eastAsia="en-US"/>
          </w:rPr>
          <w:t>наказом Мінекономіки від 30.10.2020 № 2208</w:t>
        </w:r>
      </w:hyperlink>
      <w:r w:rsidRPr="00432BFF">
        <w:rPr>
          <w:rFonts w:ascii="Times New Roman" w:eastAsia="Times New Roman" w:hAnsi="Times New Roman" w:cs="Times New Roman"/>
          <w:sz w:val="24"/>
          <w:szCs w:val="24"/>
          <w:lang w:eastAsia="en-US"/>
        </w:rPr>
        <w:t>)</w:t>
      </w:r>
    </w:p>
    <w:p w:rsidR="00432BFF" w:rsidRPr="00E12869" w:rsidRDefault="00432BFF" w:rsidP="00432BFF">
      <w:pPr>
        <w:spacing w:after="120"/>
        <w:ind w:firstLine="54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xml:space="preserve">2. Наявність досвіду праці підприємства в галузі  організації харчування дітей в  </w:t>
      </w:r>
      <w:r w:rsidRPr="00432BFF">
        <w:rPr>
          <w:rFonts w:ascii="Times New Roman" w:eastAsia="Times New Roman" w:hAnsi="Times New Roman" w:cs="Times New Roman"/>
          <w:b/>
          <w:sz w:val="24"/>
          <w:szCs w:val="24"/>
          <w:lang w:eastAsia="en-US"/>
        </w:rPr>
        <w:t>закладах загальної середньої освіти</w:t>
      </w:r>
      <w:r w:rsidRPr="00432BFF">
        <w:rPr>
          <w:rFonts w:ascii="Times New Roman" w:eastAsia="Times New Roman" w:hAnsi="Times New Roman" w:cs="Times New Roman"/>
          <w:sz w:val="24"/>
          <w:szCs w:val="24"/>
          <w:lang w:eastAsia="en-US"/>
        </w:rPr>
        <w:t xml:space="preserve"> </w:t>
      </w:r>
      <w:r w:rsidR="00FE2A76">
        <w:rPr>
          <w:rFonts w:ascii="Times New Roman" w:eastAsia="Times New Roman" w:hAnsi="Times New Roman" w:cs="Times New Roman"/>
          <w:sz w:val="24"/>
          <w:szCs w:val="24"/>
          <w:lang w:eastAsia="en-US"/>
        </w:rPr>
        <w:t>не менше 2</w:t>
      </w:r>
      <w:bookmarkStart w:id="1" w:name="_GoBack"/>
      <w:bookmarkEnd w:id="1"/>
      <w:r w:rsidRPr="00E12869">
        <w:rPr>
          <w:rFonts w:ascii="Times New Roman" w:eastAsia="Times New Roman" w:hAnsi="Times New Roman" w:cs="Times New Roman"/>
          <w:sz w:val="24"/>
          <w:szCs w:val="24"/>
          <w:lang w:eastAsia="en-US"/>
        </w:rPr>
        <w:t xml:space="preserve"> років. </w:t>
      </w:r>
    </w:p>
    <w:p w:rsidR="00432BFF" w:rsidRPr="00432BFF" w:rsidRDefault="00C00067" w:rsidP="00432BFF">
      <w:pPr>
        <w:spacing w:after="120"/>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432BFF" w:rsidRPr="00432BFF">
        <w:rPr>
          <w:rFonts w:ascii="Times New Roman" w:eastAsia="Times New Roman" w:hAnsi="Times New Roman" w:cs="Times New Roman"/>
          <w:sz w:val="24"/>
          <w:szCs w:val="24"/>
          <w:lang w:eastAsia="en-US"/>
        </w:rPr>
        <w:t xml:space="preserve">. Відповідальність за безпеку і якість продуктів харчування та продовольчої сировини, готової продукції покладається на постачальника, що забезпечує харчування учнів. Приготування їжі повинно здійснюватися відповідно до діючих збірників рецептур блюд для харчування школярів. Продукти харчування та продовольча сировина повинні надходити разом із супровідними документами, які свідчать про їх походження та якість.           </w:t>
      </w:r>
    </w:p>
    <w:p w:rsidR="00432BFF" w:rsidRPr="00432BFF" w:rsidRDefault="00C00067" w:rsidP="00432BFF">
      <w:pPr>
        <w:spacing w:after="120"/>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432BFF" w:rsidRPr="00432BFF">
        <w:rPr>
          <w:rFonts w:ascii="Times New Roman" w:eastAsia="Times New Roman" w:hAnsi="Times New Roman" w:cs="Times New Roman"/>
          <w:sz w:val="24"/>
          <w:szCs w:val="24"/>
          <w:lang w:eastAsia="en-US"/>
        </w:rPr>
        <w:t>. Обов’язкове проведення щоденного бракеражу страв за участю медичного  працівника (або відповідального працівника) школи, згідно з діючим положенням про бракераж на підприємствах громадського харчування. Ведення журналу бракеражу сирої продукції та ін. затвердженої документації.</w:t>
      </w:r>
    </w:p>
    <w:p w:rsidR="00432BFF" w:rsidRPr="00432BFF" w:rsidRDefault="00C00067" w:rsidP="00432BFF">
      <w:pPr>
        <w:spacing w:after="120"/>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432BFF" w:rsidRPr="00432BFF">
        <w:rPr>
          <w:rFonts w:ascii="Times New Roman" w:eastAsia="Times New Roman" w:hAnsi="Times New Roman" w:cs="Times New Roman"/>
          <w:sz w:val="24"/>
          <w:szCs w:val="24"/>
          <w:lang w:eastAsia="en-US"/>
        </w:rPr>
        <w:t>. Харчування учнів повинно здійснюватись незалежно від наявності у школі приміщення та обладнання для приготування їжі. В школи, в яких відсутні умови для приготування їжі, здійснювати транспортування готових страв в термосах із базової шкільної їдальні транспортом постачальника. Транспортні витрати покладаються на постачальника.</w:t>
      </w:r>
    </w:p>
    <w:p w:rsidR="00432BFF" w:rsidRPr="00432BFF" w:rsidRDefault="00C00067" w:rsidP="00432BFF">
      <w:pPr>
        <w:spacing w:after="120"/>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432BFF" w:rsidRPr="00432BFF">
        <w:rPr>
          <w:rFonts w:ascii="Times New Roman" w:eastAsia="Times New Roman" w:hAnsi="Times New Roman" w:cs="Times New Roman"/>
          <w:sz w:val="24"/>
          <w:szCs w:val="24"/>
          <w:lang w:eastAsia="en-US"/>
        </w:rPr>
        <w:t>. Для забезпечення нагляду за організацією роботи шкільних їдалень згідно з вимогами інструктивно-нормативних документів, мати в своєму штаті технологічну службу(технолога).</w:t>
      </w:r>
    </w:p>
    <w:p w:rsidR="00432BFF" w:rsidRPr="00432BFF" w:rsidRDefault="00C00067" w:rsidP="00432BFF">
      <w:pPr>
        <w:spacing w:after="120"/>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7</w:t>
      </w:r>
      <w:r w:rsidR="00432BFF" w:rsidRPr="00432BFF">
        <w:rPr>
          <w:rFonts w:ascii="Times New Roman" w:eastAsia="Times New Roman" w:hAnsi="Times New Roman" w:cs="Times New Roman"/>
          <w:sz w:val="24"/>
          <w:szCs w:val="24"/>
          <w:lang w:eastAsia="en-US"/>
        </w:rPr>
        <w:t>. Працівники, пов’язані з організацією харчування, проходять обов’язковий медичний огляд відповідно до чинного законодавства.</w:t>
      </w:r>
    </w:p>
    <w:p w:rsidR="00432BFF" w:rsidRPr="00432BFF" w:rsidRDefault="00C00067" w:rsidP="00432BFF">
      <w:pPr>
        <w:spacing w:after="120"/>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432BFF" w:rsidRPr="00432BFF">
        <w:rPr>
          <w:rFonts w:ascii="Times New Roman" w:eastAsia="Times New Roman" w:hAnsi="Times New Roman" w:cs="Times New Roman"/>
          <w:sz w:val="24"/>
          <w:szCs w:val="24"/>
          <w:lang w:eastAsia="en-US"/>
        </w:rPr>
        <w:t>. Забезпечення їдалень столовим посудом, приборами, кухонним інвентарем, спецодягом, миючими та дезінфікуючими засобами у відповідності до діючих норм.</w:t>
      </w:r>
    </w:p>
    <w:p w:rsidR="00432BFF" w:rsidRPr="00432BFF" w:rsidRDefault="00C00067" w:rsidP="00432BFF">
      <w:pPr>
        <w:spacing w:after="120"/>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432BFF" w:rsidRPr="00432BFF">
        <w:rPr>
          <w:rFonts w:ascii="Times New Roman" w:eastAsia="Times New Roman" w:hAnsi="Times New Roman" w:cs="Times New Roman"/>
          <w:sz w:val="24"/>
          <w:szCs w:val="24"/>
          <w:lang w:eastAsia="en-US"/>
        </w:rPr>
        <w:t>. Постачальник зобов’язаний щомісяця, не пізніше ніж за 3 дні до закінчення місяця, вивіряти розрахунки і не допускати дебіторсько – кредиторської заборгованості, а на кінець кварталу розрахунки проводяться повністю із звіренням взаємних розрахунків.</w:t>
      </w:r>
    </w:p>
    <w:p w:rsidR="00432BFF" w:rsidRPr="00432BFF" w:rsidRDefault="00432BFF" w:rsidP="00432BFF">
      <w:pPr>
        <w:jc w:val="center"/>
        <w:rPr>
          <w:rFonts w:eastAsia="Times New Roman" w:cs="Times New Roman"/>
          <w:b/>
          <w:snapToGrid w:val="0"/>
          <w:sz w:val="28"/>
          <w:szCs w:val="28"/>
          <w:lang w:eastAsia="en-US"/>
        </w:rPr>
      </w:pPr>
      <w:r w:rsidRPr="00432BFF">
        <w:rPr>
          <w:rFonts w:eastAsia="Times New Roman" w:cs="Times New Roman"/>
          <w:b/>
          <w:snapToGrid w:val="0"/>
          <w:sz w:val="28"/>
          <w:szCs w:val="28"/>
          <w:lang w:eastAsia="en-US"/>
        </w:rPr>
        <w:t>ТЕХНІЧНІ ВИМОГИ</w:t>
      </w:r>
    </w:p>
    <w:tbl>
      <w:tblPr>
        <w:tblW w:w="0" w:type="auto"/>
        <w:tblCellSpacing w:w="0" w:type="dxa"/>
        <w:tblInd w:w="562" w:type="dxa"/>
        <w:tblLook w:val="0000" w:firstRow="0" w:lastRow="0" w:firstColumn="0" w:lastColumn="0" w:noHBand="0" w:noVBand="0"/>
      </w:tblPr>
      <w:tblGrid>
        <w:gridCol w:w="5529"/>
        <w:gridCol w:w="1701"/>
        <w:gridCol w:w="1701"/>
      </w:tblGrid>
      <w:tr w:rsidR="00507812" w:rsidRPr="00432BFF" w:rsidTr="00507812">
        <w:trPr>
          <w:tblCellSpacing w:w="0" w:type="dxa"/>
        </w:trPr>
        <w:tc>
          <w:tcPr>
            <w:tcW w:w="5529" w:type="dxa"/>
            <w:tcBorders>
              <w:top w:val="single" w:sz="4" w:space="0" w:color="000000"/>
              <w:left w:val="single" w:sz="4" w:space="0" w:color="000000"/>
              <w:bottom w:val="single" w:sz="4" w:space="0" w:color="000000"/>
              <w:right w:val="single" w:sz="4" w:space="0" w:color="000000"/>
            </w:tcBorders>
            <w:vAlign w:val="center"/>
          </w:tcPr>
          <w:p w:rsidR="00507812" w:rsidRPr="00432BFF" w:rsidRDefault="00507812" w:rsidP="00432BFF">
            <w:pPr>
              <w:spacing w:after="0" w:line="240" w:lineRule="auto"/>
              <w:jc w:val="center"/>
              <w:rPr>
                <w:rFonts w:ascii="Times New Roman" w:hAnsi="Times New Roman" w:cs="Times New Roman"/>
                <w:sz w:val="24"/>
                <w:szCs w:val="24"/>
                <w:lang w:val="ru-RU" w:eastAsia="uk-UA"/>
              </w:rPr>
            </w:pPr>
            <w:proofErr w:type="spellStart"/>
            <w:r w:rsidRPr="00432BFF">
              <w:rPr>
                <w:rFonts w:ascii="Times New Roman" w:hAnsi="Times New Roman" w:cs="Times New Roman"/>
                <w:b/>
                <w:bCs/>
                <w:sz w:val="24"/>
                <w:szCs w:val="24"/>
                <w:lang w:val="ru-RU" w:eastAsia="uk-UA"/>
              </w:rPr>
              <w:t>Найменування</w:t>
            </w:r>
            <w:proofErr w:type="spellEnd"/>
            <w:r w:rsidRPr="00432BFF">
              <w:rPr>
                <w:rFonts w:ascii="Times New Roman" w:hAnsi="Times New Roman" w:cs="Times New Roman"/>
                <w:b/>
                <w:bCs/>
                <w:sz w:val="24"/>
                <w:szCs w:val="24"/>
                <w:lang w:val="ru-RU" w:eastAsia="uk-UA"/>
              </w:rPr>
              <w:t xml:space="preserve">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507812" w:rsidRPr="00432BFF" w:rsidRDefault="00507812" w:rsidP="00432BFF">
            <w:pPr>
              <w:spacing w:after="0" w:line="240" w:lineRule="auto"/>
              <w:jc w:val="center"/>
              <w:rPr>
                <w:rFonts w:ascii="Times New Roman" w:hAnsi="Times New Roman" w:cs="Times New Roman"/>
                <w:sz w:val="24"/>
                <w:szCs w:val="24"/>
                <w:lang w:val="ru-RU" w:eastAsia="uk-UA"/>
              </w:rPr>
            </w:pPr>
            <w:proofErr w:type="spellStart"/>
            <w:r w:rsidRPr="00432BFF">
              <w:rPr>
                <w:rFonts w:ascii="Times New Roman" w:hAnsi="Times New Roman" w:cs="Times New Roman"/>
                <w:b/>
                <w:bCs/>
                <w:sz w:val="24"/>
                <w:szCs w:val="24"/>
                <w:lang w:val="ru-RU" w:eastAsia="uk-UA"/>
              </w:rPr>
              <w:t>Одиниці</w:t>
            </w:r>
            <w:proofErr w:type="spellEnd"/>
            <w:r w:rsidRPr="00432BFF">
              <w:rPr>
                <w:rFonts w:ascii="Times New Roman" w:hAnsi="Times New Roman" w:cs="Times New Roman"/>
                <w:b/>
                <w:bCs/>
                <w:sz w:val="24"/>
                <w:szCs w:val="24"/>
                <w:lang w:val="ru-RU" w:eastAsia="uk-UA"/>
              </w:rPr>
              <w:t xml:space="preserve"> </w:t>
            </w:r>
            <w:proofErr w:type="spellStart"/>
            <w:r w:rsidRPr="00432BFF">
              <w:rPr>
                <w:rFonts w:ascii="Times New Roman" w:hAnsi="Times New Roman" w:cs="Times New Roman"/>
                <w:b/>
                <w:bCs/>
                <w:sz w:val="24"/>
                <w:szCs w:val="24"/>
                <w:lang w:val="ru-RU" w:eastAsia="uk-UA"/>
              </w:rPr>
              <w:t>виміру</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507812" w:rsidRPr="00432BFF" w:rsidRDefault="00507812" w:rsidP="00432BFF">
            <w:pPr>
              <w:spacing w:after="200" w:line="271" w:lineRule="auto"/>
              <w:rPr>
                <w:rFonts w:ascii="Times New Roman" w:hAnsi="Times New Roman" w:cs="Times New Roman"/>
                <w:sz w:val="24"/>
                <w:szCs w:val="24"/>
                <w:lang w:val="ru-RU" w:eastAsia="uk-UA"/>
              </w:rPr>
            </w:pPr>
            <w:proofErr w:type="spellStart"/>
            <w:r w:rsidRPr="00432BFF">
              <w:rPr>
                <w:rFonts w:ascii="Times New Roman" w:hAnsi="Times New Roman" w:cs="Times New Roman"/>
                <w:b/>
                <w:bCs/>
                <w:sz w:val="24"/>
                <w:szCs w:val="24"/>
                <w:lang w:val="ru-RU" w:eastAsia="uk-UA"/>
              </w:rPr>
              <w:t>Кількість</w:t>
            </w:r>
            <w:proofErr w:type="spellEnd"/>
          </w:p>
        </w:tc>
      </w:tr>
      <w:tr w:rsidR="00507812" w:rsidRPr="00432BFF" w:rsidTr="00507812">
        <w:trPr>
          <w:tblCellSpacing w:w="0" w:type="dxa"/>
        </w:trPr>
        <w:tc>
          <w:tcPr>
            <w:tcW w:w="5529" w:type="dxa"/>
            <w:tcBorders>
              <w:top w:val="single" w:sz="4" w:space="0" w:color="000000"/>
              <w:left w:val="single" w:sz="4" w:space="0" w:color="000000"/>
              <w:bottom w:val="single" w:sz="4" w:space="0" w:color="000000"/>
              <w:right w:val="single" w:sz="4" w:space="0" w:color="000000"/>
            </w:tcBorders>
            <w:vAlign w:val="center"/>
          </w:tcPr>
          <w:p w:rsidR="00507812" w:rsidRPr="00F6368A" w:rsidRDefault="00507812" w:rsidP="00AF023B">
            <w:pPr>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Харчування здобувачів освіти 1-5 класів закладів загальної середньої освіти, вихованців НБДЮ у літній період (сніданок, обід)</w:t>
            </w:r>
          </w:p>
        </w:tc>
        <w:tc>
          <w:tcPr>
            <w:tcW w:w="1701" w:type="dxa"/>
            <w:tcBorders>
              <w:top w:val="single" w:sz="4" w:space="0" w:color="000000"/>
              <w:left w:val="single" w:sz="4" w:space="0" w:color="000000"/>
              <w:bottom w:val="single" w:sz="4" w:space="0" w:color="000000"/>
              <w:right w:val="single" w:sz="4" w:space="0" w:color="000000"/>
            </w:tcBorders>
            <w:vAlign w:val="center"/>
          </w:tcPr>
          <w:p w:rsidR="00507812" w:rsidRPr="00432BFF" w:rsidRDefault="00507812" w:rsidP="00432BFF">
            <w:pPr>
              <w:spacing w:after="0" w:line="240" w:lineRule="auto"/>
              <w:jc w:val="center"/>
              <w:rPr>
                <w:rFonts w:ascii="Times New Roman" w:hAnsi="Times New Roman" w:cs="Times New Roman"/>
                <w:sz w:val="24"/>
                <w:szCs w:val="24"/>
                <w:lang w:val="ru-RU" w:eastAsia="uk-UA"/>
              </w:rPr>
            </w:pPr>
            <w:proofErr w:type="spellStart"/>
            <w:r w:rsidRPr="00432BFF">
              <w:rPr>
                <w:rFonts w:ascii="Times New Roman" w:hAnsi="Times New Roman" w:cs="Times New Roman"/>
                <w:sz w:val="24"/>
                <w:szCs w:val="24"/>
                <w:lang w:val="ru-RU" w:eastAsia="uk-UA"/>
              </w:rPr>
              <w:t>діто</w:t>
            </w:r>
            <w:proofErr w:type="spellEnd"/>
            <w:r w:rsidRPr="00432BFF">
              <w:rPr>
                <w:rFonts w:ascii="Times New Roman" w:hAnsi="Times New Roman" w:cs="Times New Roman"/>
                <w:sz w:val="24"/>
                <w:szCs w:val="24"/>
                <w:lang w:val="ru-RU" w:eastAsia="uk-UA"/>
              </w:rPr>
              <w:t>/</w:t>
            </w:r>
            <w:proofErr w:type="spellStart"/>
            <w:r w:rsidRPr="00432BFF">
              <w:rPr>
                <w:rFonts w:ascii="Times New Roman" w:hAnsi="Times New Roman" w:cs="Times New Roman"/>
                <w:sz w:val="24"/>
                <w:szCs w:val="24"/>
                <w:lang w:val="ru-RU" w:eastAsia="uk-UA"/>
              </w:rPr>
              <w:t>днів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07812" w:rsidRPr="00507812" w:rsidRDefault="00507812" w:rsidP="00432BFF">
            <w:pPr>
              <w:spacing w:after="0" w:line="240" w:lineRule="auto"/>
              <w:jc w:val="center"/>
              <w:rPr>
                <w:rFonts w:ascii="Times New Roman" w:hAnsi="Times New Roman" w:cs="Times New Roman"/>
                <w:sz w:val="24"/>
                <w:szCs w:val="24"/>
                <w:lang w:val="en-US" w:eastAsia="uk-UA"/>
              </w:rPr>
            </w:pPr>
            <w:r>
              <w:rPr>
                <w:rFonts w:ascii="Times New Roman" w:hAnsi="Times New Roman" w:cs="Times New Roman"/>
                <w:sz w:val="24"/>
                <w:szCs w:val="24"/>
                <w:lang w:val="en-US" w:eastAsia="uk-UA"/>
              </w:rPr>
              <w:t>13944</w:t>
            </w:r>
          </w:p>
        </w:tc>
      </w:tr>
      <w:tr w:rsidR="00507812" w:rsidRPr="00432BFF" w:rsidTr="00507812">
        <w:trPr>
          <w:tblCellSpacing w:w="0" w:type="dxa"/>
        </w:trPr>
        <w:tc>
          <w:tcPr>
            <w:tcW w:w="5529" w:type="dxa"/>
            <w:tcBorders>
              <w:top w:val="single" w:sz="4" w:space="0" w:color="000000"/>
              <w:left w:val="single" w:sz="4" w:space="0" w:color="000000"/>
              <w:bottom w:val="single" w:sz="4" w:space="0" w:color="000000"/>
              <w:right w:val="single" w:sz="4" w:space="0" w:color="000000"/>
            </w:tcBorders>
            <w:vAlign w:val="center"/>
          </w:tcPr>
          <w:p w:rsidR="00507812" w:rsidRPr="009E3F5E" w:rsidRDefault="00507812" w:rsidP="009E3F5E">
            <w:pPr>
              <w:spacing w:after="0" w:line="240" w:lineRule="auto"/>
              <w:rPr>
                <w:rFonts w:ascii="Times New Roman" w:hAnsi="Times New Roman" w:cs="Times New Roman"/>
                <w:b/>
                <w:sz w:val="24"/>
                <w:szCs w:val="24"/>
                <w:lang w:val="ru-RU" w:eastAsia="uk-UA"/>
              </w:rPr>
            </w:pPr>
            <w:r w:rsidRPr="009E3F5E">
              <w:rPr>
                <w:rFonts w:ascii="Times New Roman" w:hAnsi="Times New Roman" w:cs="Times New Roman"/>
                <w:b/>
                <w:sz w:val="24"/>
                <w:szCs w:val="24"/>
                <w:lang w:val="ru-RU" w:eastAsia="uk-UA"/>
              </w:rPr>
              <w:t>Разом :</w:t>
            </w:r>
          </w:p>
        </w:tc>
        <w:tc>
          <w:tcPr>
            <w:tcW w:w="1701" w:type="dxa"/>
            <w:tcBorders>
              <w:top w:val="single" w:sz="4" w:space="0" w:color="000000"/>
              <w:left w:val="single" w:sz="4" w:space="0" w:color="000000"/>
              <w:bottom w:val="single" w:sz="4" w:space="0" w:color="000000"/>
              <w:right w:val="single" w:sz="4" w:space="0" w:color="000000"/>
            </w:tcBorders>
            <w:vAlign w:val="center"/>
          </w:tcPr>
          <w:p w:rsidR="00507812" w:rsidRPr="00432BFF" w:rsidRDefault="00507812" w:rsidP="00432BFF">
            <w:pPr>
              <w:spacing w:after="0" w:line="240" w:lineRule="auto"/>
              <w:jc w:val="center"/>
              <w:rPr>
                <w:rFonts w:ascii="Times New Roman" w:hAnsi="Times New Roman" w:cs="Times New Roman"/>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507812" w:rsidRPr="00507812" w:rsidRDefault="00507812" w:rsidP="00432BFF">
            <w:pPr>
              <w:spacing w:after="0" w:line="240" w:lineRule="auto"/>
              <w:jc w:val="center"/>
              <w:rPr>
                <w:rFonts w:ascii="Times New Roman" w:hAnsi="Times New Roman" w:cs="Times New Roman"/>
                <w:sz w:val="24"/>
                <w:szCs w:val="24"/>
                <w:lang w:val="en-US" w:eastAsia="uk-UA"/>
              </w:rPr>
            </w:pPr>
            <w:r>
              <w:rPr>
                <w:rFonts w:ascii="Times New Roman" w:hAnsi="Times New Roman" w:cs="Times New Roman"/>
                <w:sz w:val="24"/>
                <w:szCs w:val="24"/>
                <w:lang w:val="en-US" w:eastAsia="uk-UA"/>
              </w:rPr>
              <w:t>13944</w:t>
            </w:r>
          </w:p>
        </w:tc>
      </w:tr>
    </w:tbl>
    <w:p w:rsidR="00507812" w:rsidRDefault="00507812" w:rsidP="0073167A">
      <w:pPr>
        <w:suppressAutoHyphens/>
        <w:spacing w:after="120" w:line="240" w:lineRule="auto"/>
        <w:ind w:firstLine="284"/>
        <w:jc w:val="both"/>
        <w:rPr>
          <w:rFonts w:ascii="Times New Roman" w:eastAsia="Times New Roman" w:hAnsi="Times New Roman" w:cs="Times New Roman"/>
          <w:sz w:val="24"/>
          <w:szCs w:val="24"/>
          <w:lang w:eastAsia="zh-CN"/>
        </w:rPr>
      </w:pPr>
    </w:p>
    <w:p w:rsidR="00432BFF" w:rsidRPr="00432BFF" w:rsidRDefault="00432BFF" w:rsidP="0073167A">
      <w:pPr>
        <w:suppressAutoHyphens/>
        <w:spacing w:after="120" w:line="240" w:lineRule="auto"/>
        <w:ind w:firstLine="284"/>
        <w:jc w:val="both"/>
        <w:rPr>
          <w:rFonts w:ascii="Times New Roman" w:eastAsia="Times New Roman" w:hAnsi="Times New Roman" w:cs="Times New Roman"/>
          <w:b/>
          <w:sz w:val="24"/>
          <w:szCs w:val="24"/>
          <w:lang w:eastAsia="zh-CN"/>
        </w:rPr>
      </w:pPr>
      <w:r w:rsidRPr="00432BFF">
        <w:rPr>
          <w:rFonts w:ascii="Times New Roman" w:eastAsia="Times New Roman" w:hAnsi="Times New Roman" w:cs="Times New Roman"/>
          <w:sz w:val="24"/>
          <w:szCs w:val="24"/>
          <w:lang w:eastAsia="zh-CN"/>
        </w:rPr>
        <w:t xml:space="preserve">1. </w:t>
      </w:r>
      <w:r w:rsidRPr="00432BFF">
        <w:rPr>
          <w:rFonts w:ascii="Times New Roman" w:eastAsia="Times New Roman" w:hAnsi="Times New Roman" w:cs="Times New Roman"/>
          <w:b/>
          <w:sz w:val="24"/>
          <w:szCs w:val="24"/>
          <w:lang w:eastAsia="zh-CN"/>
        </w:rPr>
        <w:t xml:space="preserve">Учасник забезпечує організацію харчування відповідно до затверджених чинним законодавством  Норм та Порядку </w:t>
      </w:r>
      <w:r w:rsidRPr="00432BFF">
        <w:rPr>
          <w:rFonts w:ascii="Times New Roman" w:eastAsia="Times New Roman" w:hAnsi="Times New Roman" w:cs="Times New Roman"/>
          <w:b/>
          <w:sz w:val="24"/>
          <w:szCs w:val="24"/>
        </w:rPr>
        <w:t>організації харчування у закладах освіти та дитячих закладах оздоровлення та відпочинку.</w:t>
      </w:r>
    </w:p>
    <w:p w:rsidR="00432BFF" w:rsidRPr="00432BFF" w:rsidRDefault="00432BFF" w:rsidP="0073167A">
      <w:pPr>
        <w:suppressAutoHyphens/>
        <w:spacing w:after="0" w:line="240" w:lineRule="auto"/>
        <w:ind w:firstLine="567"/>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xml:space="preserve">1.Учасник забезпечує наявність журналу щоденного огляду працівників харчоблоку на гнійничкові захворювання та аптечок для надання первинної медичної допомоги. </w:t>
      </w:r>
    </w:p>
    <w:p w:rsidR="00432BFF" w:rsidRPr="00432BFF" w:rsidRDefault="00432BFF" w:rsidP="00432BFF">
      <w:pPr>
        <w:suppressAutoHyphens/>
        <w:spacing w:after="0" w:line="240" w:lineRule="auto"/>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Учасник забезпечує контроль за дотриманням працівниками правил особистої гігієни, дотриманн</w:t>
      </w:r>
      <w:r w:rsidR="005B7A4D">
        <w:rPr>
          <w:rFonts w:ascii="Times New Roman" w:hAnsi="Times New Roman" w:cs="Times New Roman"/>
          <w:sz w:val="24"/>
          <w:szCs w:val="24"/>
          <w:lang w:eastAsia="ar-SA"/>
        </w:rPr>
        <w:t>я санітарно-гігієнічних заходів</w:t>
      </w:r>
      <w:r w:rsidRPr="00432BFF">
        <w:rPr>
          <w:rFonts w:ascii="Times New Roman" w:hAnsi="Times New Roman" w:cs="Times New Roman"/>
          <w:sz w:val="24"/>
          <w:szCs w:val="24"/>
          <w:lang w:eastAsia="ar-SA"/>
        </w:rPr>
        <w:t>.</w:t>
      </w:r>
    </w:p>
    <w:p w:rsidR="00432BFF" w:rsidRPr="00432BFF" w:rsidRDefault="00432BFF" w:rsidP="00432BFF">
      <w:pPr>
        <w:suppressAutoHyphens/>
        <w:spacing w:after="0" w:line="240" w:lineRule="auto"/>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xml:space="preserve">- Учасник самостійно поставляє продукти харчування для приготування їжі. Автотранспорт учасника повинен бути придатний для доставки продуктів харчування, що швидко псуються. </w:t>
      </w:r>
    </w:p>
    <w:p w:rsidR="00432BFF" w:rsidRPr="00432BFF" w:rsidRDefault="00432BFF" w:rsidP="00432BFF">
      <w:pPr>
        <w:snapToGrid w:val="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xml:space="preserve">- Учасник забезпечує приготування страв високої якості за місцем знаходження харчоблоку закладу освіти. </w:t>
      </w:r>
    </w:p>
    <w:p w:rsidR="00432BFF" w:rsidRPr="00432BFF" w:rsidRDefault="00432BFF" w:rsidP="00432BFF">
      <w:pPr>
        <w:snapToGrid w:val="0"/>
        <w:jc w:val="both"/>
        <w:rPr>
          <w:rFonts w:ascii="Times New Roman" w:eastAsia="Times New Roman" w:hAnsi="Times New Roman" w:cs="Times New Roman"/>
          <w:sz w:val="24"/>
          <w:szCs w:val="24"/>
          <w:lang w:eastAsia="en-US"/>
        </w:rPr>
      </w:pPr>
      <w:r w:rsidRPr="00432BFF">
        <w:rPr>
          <w:rFonts w:ascii="Times New Roman" w:eastAsia="Times New Roman" w:hAnsi="Times New Roman" w:cs="Times New Roman"/>
          <w:sz w:val="24"/>
          <w:szCs w:val="24"/>
          <w:lang w:eastAsia="en-US"/>
        </w:rPr>
        <w:t xml:space="preserve">- Учасник надає через шкільні їдальні </w:t>
      </w:r>
      <w:r w:rsidR="005B7A4D">
        <w:rPr>
          <w:rFonts w:ascii="Times New Roman" w:eastAsia="Times New Roman" w:hAnsi="Times New Roman" w:cs="Times New Roman"/>
          <w:sz w:val="24"/>
          <w:szCs w:val="24"/>
          <w:lang w:eastAsia="en-US"/>
        </w:rPr>
        <w:t>дітям</w:t>
      </w:r>
      <w:r w:rsidRPr="00432BFF">
        <w:rPr>
          <w:rFonts w:ascii="Times New Roman" w:eastAsia="Times New Roman" w:hAnsi="Times New Roman" w:cs="Times New Roman"/>
          <w:sz w:val="24"/>
          <w:szCs w:val="24"/>
          <w:lang w:eastAsia="en-US"/>
        </w:rPr>
        <w:t xml:space="preserve"> збалансоване харчування. Набір продуктів харчування для приготування страв у школах обов’язково має відповідати діючим нормам  харчування в закладах освіти.</w:t>
      </w:r>
    </w:p>
    <w:p w:rsidR="00432BFF" w:rsidRPr="00432BFF" w:rsidRDefault="00432BFF" w:rsidP="00432BFF">
      <w:pPr>
        <w:suppressAutoHyphens/>
        <w:spacing w:after="0" w:line="240" w:lineRule="auto"/>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xml:space="preserve">- Учасник забезпечує неухильне дотримання примірного чотиритижневого сезонного меню та щоденного меню-розкладу. </w:t>
      </w:r>
    </w:p>
    <w:p w:rsidR="00432BFF" w:rsidRPr="00432BFF" w:rsidRDefault="00432BFF" w:rsidP="00432BFF">
      <w:pPr>
        <w:suppressAutoHyphens/>
        <w:spacing w:after="0" w:line="240" w:lineRule="auto"/>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Учасник забезпечує суворе дотримання правил прийому продуктів харчування, наявність документів, підтверджуючих якість продуктів, а також умов, термінів зберігання та реалізації продуктів, що швидко псуються, згідно норм діючого законодавства.</w:t>
      </w:r>
    </w:p>
    <w:p w:rsidR="00432BFF" w:rsidRPr="00432BFF" w:rsidRDefault="00432BFF" w:rsidP="00432BFF">
      <w:pPr>
        <w:suppressAutoHyphens/>
        <w:spacing w:after="0" w:line="240" w:lineRule="auto"/>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Учасник виконує вимоги санітарних правил і норм при обробці сировини т</w:t>
      </w:r>
      <w:r w:rsidR="00677863">
        <w:rPr>
          <w:rFonts w:ascii="Times New Roman" w:hAnsi="Times New Roman" w:cs="Times New Roman"/>
          <w:sz w:val="24"/>
          <w:szCs w:val="24"/>
          <w:lang w:eastAsia="ar-SA"/>
        </w:rPr>
        <w:t>а виготовленні страв та виробів</w:t>
      </w:r>
      <w:r w:rsidRPr="00432BFF">
        <w:rPr>
          <w:rFonts w:ascii="Times New Roman" w:hAnsi="Times New Roman" w:cs="Times New Roman"/>
          <w:sz w:val="24"/>
          <w:szCs w:val="24"/>
          <w:lang w:eastAsia="ar-SA"/>
        </w:rPr>
        <w:t>.</w:t>
      </w:r>
    </w:p>
    <w:p w:rsidR="00432BFF" w:rsidRPr="00432BFF" w:rsidRDefault="00432BFF" w:rsidP="0073167A">
      <w:pPr>
        <w:suppressAutoHyphens/>
        <w:spacing w:after="0" w:line="240" w:lineRule="auto"/>
        <w:ind w:firstLine="567"/>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2. Наявність столового посуду і кухонного інвентарю згідно з нормами забезпечення їдалень для організації гарячого харчування;</w:t>
      </w:r>
    </w:p>
    <w:p w:rsidR="00432BFF" w:rsidRPr="00432BFF" w:rsidRDefault="00432BFF" w:rsidP="0073167A">
      <w:pPr>
        <w:suppressAutoHyphens/>
        <w:spacing w:after="0" w:line="240" w:lineRule="auto"/>
        <w:ind w:firstLine="567"/>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xml:space="preserve">3. Наявність миючих та дезінфікуючих засобів згідно санітарних норм і правил для забезпечення  шкільних </w:t>
      </w:r>
      <w:proofErr w:type="spellStart"/>
      <w:r w:rsidRPr="00432BFF">
        <w:rPr>
          <w:rFonts w:ascii="Times New Roman" w:hAnsi="Times New Roman" w:cs="Times New Roman"/>
          <w:sz w:val="24"/>
          <w:szCs w:val="24"/>
          <w:lang w:eastAsia="ar-SA"/>
        </w:rPr>
        <w:t>їдалень</w:t>
      </w:r>
      <w:proofErr w:type="spellEnd"/>
      <w:r w:rsidRPr="00432BFF">
        <w:rPr>
          <w:rFonts w:ascii="Times New Roman" w:hAnsi="Times New Roman" w:cs="Times New Roman"/>
          <w:sz w:val="24"/>
          <w:szCs w:val="24"/>
          <w:lang w:eastAsia="ar-SA"/>
        </w:rPr>
        <w:t>;</w:t>
      </w:r>
    </w:p>
    <w:p w:rsidR="00432BFF" w:rsidRPr="00432BFF" w:rsidRDefault="00432BFF" w:rsidP="0073167A">
      <w:pPr>
        <w:suppressAutoHyphens/>
        <w:spacing w:after="0" w:line="240" w:lineRule="auto"/>
        <w:ind w:firstLine="567"/>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4. Забезпечення робітників спецодягом, масками, щитками та ін. згідно санітарних норм і правил для відповідних підприємств;</w:t>
      </w:r>
    </w:p>
    <w:p w:rsidR="00432BFF" w:rsidRPr="00432BFF" w:rsidRDefault="00432BFF" w:rsidP="0073167A">
      <w:pPr>
        <w:suppressAutoHyphens/>
        <w:spacing w:after="0" w:line="240" w:lineRule="auto"/>
        <w:ind w:firstLine="567"/>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xml:space="preserve">5. Наявність належної бази для ведення бухгалтерського обліку наданих послуг з харчування учнів, з обов'язковою </w:t>
      </w:r>
      <w:proofErr w:type="spellStart"/>
      <w:r w:rsidRPr="00432BFF">
        <w:rPr>
          <w:rFonts w:ascii="Times New Roman" w:hAnsi="Times New Roman" w:cs="Times New Roman"/>
          <w:sz w:val="24"/>
          <w:szCs w:val="24"/>
          <w:lang w:eastAsia="ar-SA"/>
        </w:rPr>
        <w:t>розшифровкою</w:t>
      </w:r>
      <w:proofErr w:type="spellEnd"/>
      <w:r w:rsidRPr="00432BFF">
        <w:rPr>
          <w:rFonts w:ascii="Times New Roman" w:hAnsi="Times New Roman" w:cs="Times New Roman"/>
          <w:sz w:val="24"/>
          <w:szCs w:val="24"/>
          <w:lang w:eastAsia="ar-SA"/>
        </w:rPr>
        <w:t xml:space="preserve"> за пільговими, до 10 числа  наступного за звітним місяця проводити звірку взаєморозрахунків за надане харчування.</w:t>
      </w:r>
    </w:p>
    <w:p w:rsidR="00432BFF" w:rsidRPr="00123C3F" w:rsidRDefault="00432BFF" w:rsidP="0073167A">
      <w:pPr>
        <w:suppressAutoHyphens/>
        <w:spacing w:after="0" w:line="240" w:lineRule="auto"/>
        <w:ind w:firstLine="567"/>
        <w:jc w:val="both"/>
        <w:rPr>
          <w:rFonts w:ascii="Times New Roman" w:hAnsi="Times New Roman" w:cs="Times New Roman"/>
          <w:sz w:val="24"/>
          <w:szCs w:val="24"/>
          <w:lang w:eastAsia="ar-SA"/>
        </w:rPr>
      </w:pPr>
      <w:r w:rsidRPr="00432BFF">
        <w:rPr>
          <w:rFonts w:ascii="Times New Roman" w:hAnsi="Times New Roman" w:cs="Times New Roman"/>
          <w:sz w:val="24"/>
          <w:szCs w:val="24"/>
          <w:lang w:eastAsia="ar-SA"/>
        </w:rPr>
        <w:t xml:space="preserve">6. Можливість надання </w:t>
      </w:r>
      <w:r w:rsidRPr="00123C3F">
        <w:rPr>
          <w:rFonts w:ascii="Times New Roman" w:hAnsi="Times New Roman" w:cs="Times New Roman"/>
          <w:sz w:val="24"/>
          <w:szCs w:val="24"/>
          <w:lang w:eastAsia="ar-SA"/>
        </w:rPr>
        <w:t>відстрочки платежу на строк відповідного надходження бюджетних коштів, але не більше ніж на 30 к.</w:t>
      </w:r>
      <w:r w:rsidR="0073167A">
        <w:rPr>
          <w:rFonts w:ascii="Times New Roman" w:hAnsi="Times New Roman" w:cs="Times New Roman"/>
          <w:sz w:val="24"/>
          <w:szCs w:val="24"/>
          <w:lang w:eastAsia="ar-SA"/>
        </w:rPr>
        <w:t xml:space="preserve"> </w:t>
      </w:r>
      <w:r w:rsidRPr="00123C3F">
        <w:rPr>
          <w:rFonts w:ascii="Times New Roman" w:hAnsi="Times New Roman" w:cs="Times New Roman"/>
          <w:sz w:val="24"/>
          <w:szCs w:val="24"/>
          <w:lang w:eastAsia="ar-SA"/>
        </w:rPr>
        <w:t>д.</w:t>
      </w:r>
    </w:p>
    <w:p w:rsidR="00432BFF" w:rsidRPr="00123C3F" w:rsidRDefault="00432BFF" w:rsidP="0073167A">
      <w:pPr>
        <w:ind w:firstLine="567"/>
        <w:jc w:val="both"/>
        <w:rPr>
          <w:rFonts w:ascii="Times New Roman" w:eastAsia="Times New Roman" w:hAnsi="Times New Roman" w:cs="Times New Roman"/>
          <w:noProof/>
          <w:sz w:val="24"/>
          <w:szCs w:val="24"/>
          <w:lang w:eastAsia="en-US"/>
        </w:rPr>
      </w:pPr>
      <w:r w:rsidRPr="00123C3F">
        <w:rPr>
          <w:rFonts w:ascii="Times New Roman" w:eastAsia="Times New Roman" w:hAnsi="Times New Roman" w:cs="Times New Roman"/>
          <w:sz w:val="24"/>
          <w:szCs w:val="24"/>
          <w:lang w:eastAsia="en-US"/>
        </w:rPr>
        <w:t xml:space="preserve">7. При підготовці пропозиції (примірного </w:t>
      </w:r>
      <w:r w:rsidR="00734A98">
        <w:rPr>
          <w:rFonts w:ascii="Times New Roman" w:eastAsia="Times New Roman" w:hAnsi="Times New Roman" w:cs="Times New Roman"/>
          <w:sz w:val="24"/>
          <w:szCs w:val="24"/>
          <w:lang w:eastAsia="en-US"/>
        </w:rPr>
        <w:t>дво</w:t>
      </w:r>
      <w:r w:rsidR="000F33F4" w:rsidRPr="00123C3F">
        <w:rPr>
          <w:rFonts w:ascii="Times New Roman" w:eastAsia="Times New Roman" w:hAnsi="Times New Roman" w:cs="Times New Roman"/>
          <w:sz w:val="24"/>
          <w:szCs w:val="24"/>
          <w:lang w:eastAsia="en-US"/>
        </w:rPr>
        <w:t>тижневого</w:t>
      </w:r>
      <w:r w:rsidRPr="00123C3F">
        <w:rPr>
          <w:rFonts w:ascii="Times New Roman" w:eastAsia="Times New Roman" w:hAnsi="Times New Roman" w:cs="Times New Roman"/>
          <w:sz w:val="24"/>
          <w:szCs w:val="24"/>
          <w:lang w:eastAsia="en-US"/>
        </w:rPr>
        <w:t xml:space="preserve"> меню), учасник повинен керуватись нормами діючого законодавства.</w:t>
      </w:r>
    </w:p>
    <w:p w:rsidR="00284634" w:rsidRPr="00284634" w:rsidRDefault="00432BFF" w:rsidP="0073167A">
      <w:pPr>
        <w:overflowPunct w:val="0"/>
        <w:autoSpaceDE w:val="0"/>
        <w:autoSpaceDN w:val="0"/>
        <w:adjustRightInd w:val="0"/>
        <w:spacing w:after="200" w:line="240" w:lineRule="auto"/>
        <w:ind w:firstLine="567"/>
        <w:contextualSpacing/>
        <w:jc w:val="both"/>
        <w:textAlignment w:val="baseline"/>
        <w:rPr>
          <w:rFonts w:ascii="Times New Roman" w:eastAsia="SimSun" w:hAnsi="Times New Roman" w:cs="Times New Roman"/>
          <w:sz w:val="24"/>
          <w:szCs w:val="24"/>
          <w:shd w:val="clear" w:color="auto" w:fill="FFFFFF"/>
        </w:rPr>
      </w:pPr>
      <w:r w:rsidRPr="00123C3F">
        <w:rPr>
          <w:rFonts w:ascii="Times New Roman" w:eastAsia="Times New Roman" w:hAnsi="Times New Roman" w:cs="Times New Roman"/>
          <w:noProof/>
          <w:sz w:val="24"/>
          <w:szCs w:val="24"/>
        </w:rPr>
        <w:t>8.</w:t>
      </w:r>
      <w:r w:rsidR="00284634">
        <w:rPr>
          <w:rFonts w:ascii="Times New Roman" w:eastAsia="SimSun" w:hAnsi="Times New Roman" w:cs="Times New Roman"/>
          <w:sz w:val="24"/>
          <w:szCs w:val="24"/>
          <w:shd w:val="clear" w:color="auto" w:fill="FFFFFF"/>
        </w:rPr>
        <w:t xml:space="preserve"> </w:t>
      </w:r>
      <w:r w:rsidR="0073167A">
        <w:rPr>
          <w:rFonts w:ascii="Times New Roman" w:eastAsia="SimSun" w:hAnsi="Times New Roman" w:cs="Times New Roman"/>
          <w:sz w:val="24"/>
          <w:szCs w:val="24"/>
          <w:shd w:val="clear" w:color="auto" w:fill="FFFFFF"/>
        </w:rPr>
        <w:t xml:space="preserve">  </w:t>
      </w:r>
      <w:r w:rsidR="00284634">
        <w:rPr>
          <w:rFonts w:ascii="Times New Roman" w:eastAsia="SimSun" w:hAnsi="Times New Roman" w:cs="Times New Roman"/>
          <w:sz w:val="24"/>
          <w:szCs w:val="24"/>
          <w:shd w:val="clear" w:color="auto" w:fill="FFFFFF"/>
        </w:rPr>
        <w:t xml:space="preserve">Строк надання послуг – </w:t>
      </w:r>
      <w:r w:rsidR="00284634" w:rsidRPr="00284634">
        <w:rPr>
          <w:rFonts w:ascii="Times New Roman" w:eastAsia="SimSun" w:hAnsi="Times New Roman" w:cs="Times New Roman"/>
          <w:sz w:val="24"/>
          <w:szCs w:val="24"/>
          <w:shd w:val="clear" w:color="auto" w:fill="FFFFFF"/>
        </w:rPr>
        <w:t xml:space="preserve">1 зміна </w:t>
      </w:r>
      <w:r w:rsidR="001705C5">
        <w:rPr>
          <w:rFonts w:ascii="Times New Roman" w:eastAsia="SimSun" w:hAnsi="Times New Roman" w:cs="Times New Roman"/>
          <w:sz w:val="24"/>
          <w:szCs w:val="24"/>
          <w:shd w:val="clear" w:color="auto" w:fill="FFFFFF"/>
        </w:rPr>
        <w:t>– з 04</w:t>
      </w:r>
      <w:r w:rsidR="00284634" w:rsidRPr="00284634">
        <w:rPr>
          <w:rFonts w:ascii="Times New Roman" w:eastAsia="SimSun" w:hAnsi="Times New Roman" w:cs="Times New Roman"/>
          <w:sz w:val="24"/>
          <w:szCs w:val="24"/>
          <w:shd w:val="clear" w:color="auto" w:fill="FFFFFF"/>
        </w:rPr>
        <w:t>.06.202</w:t>
      </w:r>
      <w:r w:rsidR="001705C5">
        <w:rPr>
          <w:rFonts w:ascii="Times New Roman" w:eastAsia="SimSun" w:hAnsi="Times New Roman" w:cs="Times New Roman"/>
          <w:sz w:val="24"/>
          <w:szCs w:val="24"/>
          <w:shd w:val="clear" w:color="auto" w:fill="FFFFFF"/>
        </w:rPr>
        <w:t>4р по 21.06.2024</w:t>
      </w:r>
      <w:r w:rsidR="00284634" w:rsidRPr="00284634">
        <w:rPr>
          <w:rFonts w:ascii="Times New Roman" w:eastAsia="SimSun" w:hAnsi="Times New Roman" w:cs="Times New Roman"/>
          <w:sz w:val="24"/>
          <w:szCs w:val="24"/>
          <w:shd w:val="clear" w:color="auto" w:fill="FFFFFF"/>
        </w:rPr>
        <w:t>р.</w:t>
      </w:r>
    </w:p>
    <w:p w:rsidR="00432BFF" w:rsidRDefault="00284634" w:rsidP="00284634">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                                              </w:t>
      </w:r>
      <w:r w:rsidR="0073167A">
        <w:rPr>
          <w:rFonts w:ascii="Times New Roman" w:eastAsia="SimSun" w:hAnsi="Times New Roman" w:cs="Times New Roman"/>
          <w:sz w:val="24"/>
          <w:szCs w:val="24"/>
          <w:shd w:val="clear" w:color="auto" w:fill="FFFFFF"/>
        </w:rPr>
        <w:t xml:space="preserve">           </w:t>
      </w:r>
      <w:r w:rsidR="00507812">
        <w:rPr>
          <w:rFonts w:ascii="Times New Roman" w:eastAsia="SimSun" w:hAnsi="Times New Roman" w:cs="Times New Roman"/>
          <w:sz w:val="24"/>
          <w:szCs w:val="24"/>
          <w:shd w:val="clear" w:color="auto" w:fill="FFFFFF"/>
        </w:rPr>
        <w:t>2 зміна – з 25.06.2024</w:t>
      </w:r>
      <w:r w:rsidR="001705C5">
        <w:rPr>
          <w:rFonts w:ascii="Times New Roman" w:eastAsia="SimSun" w:hAnsi="Times New Roman" w:cs="Times New Roman"/>
          <w:sz w:val="24"/>
          <w:szCs w:val="24"/>
          <w:shd w:val="clear" w:color="auto" w:fill="FFFFFF"/>
        </w:rPr>
        <w:t>р по 12</w:t>
      </w:r>
      <w:r w:rsidR="00507812">
        <w:rPr>
          <w:rFonts w:ascii="Times New Roman" w:eastAsia="SimSun" w:hAnsi="Times New Roman" w:cs="Times New Roman"/>
          <w:sz w:val="24"/>
          <w:szCs w:val="24"/>
          <w:shd w:val="clear" w:color="auto" w:fill="FFFFFF"/>
        </w:rPr>
        <w:t>.07.2024</w:t>
      </w:r>
      <w:r w:rsidRPr="00284634">
        <w:rPr>
          <w:rFonts w:ascii="Times New Roman" w:eastAsia="SimSun" w:hAnsi="Times New Roman" w:cs="Times New Roman"/>
          <w:sz w:val="24"/>
          <w:szCs w:val="24"/>
          <w:shd w:val="clear" w:color="auto" w:fill="FFFFFF"/>
        </w:rPr>
        <w:t>р.</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lastRenderedPageBreak/>
        <w:t xml:space="preserve">          </w:t>
      </w:r>
      <w:r w:rsidRPr="00B11F88">
        <w:rPr>
          <w:rFonts w:ascii="Times New Roman" w:eastAsia="SimSun" w:hAnsi="Times New Roman" w:cs="Times New Roman"/>
          <w:sz w:val="24"/>
          <w:szCs w:val="24"/>
          <w:shd w:val="clear" w:color="auto" w:fill="FFFFFF"/>
        </w:rPr>
        <w:t>Мережа  таборів з денним перебуванням на 2024 рік на базі закладів загальної середньої освіти, Ніжинського будинку дітей та юнацтва</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49"/>
        <w:gridCol w:w="2210"/>
        <w:gridCol w:w="1983"/>
        <w:gridCol w:w="993"/>
        <w:gridCol w:w="1416"/>
      </w:tblGrid>
      <w:tr w:rsidR="00B11F88" w:rsidRPr="00B11F88" w:rsidTr="009549DE">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lang w:val="ru-RU"/>
              </w:rPr>
              <w:t xml:space="preserve">№ </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з/п</w:t>
            </w:r>
          </w:p>
        </w:tc>
        <w:tc>
          <w:tcPr>
            <w:tcW w:w="2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Назва</w:t>
            </w:r>
            <w:proofErr w:type="spellEnd"/>
            <w:r w:rsidRPr="00B11F88">
              <w:rPr>
                <w:rFonts w:ascii="Times New Roman" w:eastAsia="SimSun" w:hAnsi="Times New Roman" w:cs="Times New Roman"/>
                <w:sz w:val="24"/>
                <w:szCs w:val="24"/>
                <w:shd w:val="clear" w:color="auto" w:fill="FFFFFF"/>
                <w:lang w:val="ru-RU"/>
              </w:rPr>
              <w:t xml:space="preserve"> табору з </w:t>
            </w:r>
            <w:proofErr w:type="spellStart"/>
            <w:r w:rsidRPr="00B11F88">
              <w:rPr>
                <w:rFonts w:ascii="Times New Roman" w:eastAsia="SimSun" w:hAnsi="Times New Roman" w:cs="Times New Roman"/>
                <w:sz w:val="24"/>
                <w:szCs w:val="24"/>
                <w:shd w:val="clear" w:color="auto" w:fill="FFFFFF"/>
                <w:lang w:val="ru-RU"/>
              </w:rPr>
              <w:t>денним</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перебуванням</w:t>
            </w:r>
            <w:proofErr w:type="spellEnd"/>
            <w:r w:rsidRPr="00B11F88">
              <w:rPr>
                <w:rFonts w:ascii="Times New Roman" w:eastAsia="SimSun" w:hAnsi="Times New Roman" w:cs="Times New Roman"/>
                <w:sz w:val="24"/>
                <w:szCs w:val="24"/>
                <w:shd w:val="clear" w:color="auto" w:fill="FFFFFF"/>
                <w:lang w:val="ru-RU"/>
              </w:rPr>
              <w:t>, заклад</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Адреса, телефон</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 xml:space="preserve">Дата </w:t>
            </w:r>
            <w:proofErr w:type="spellStart"/>
            <w:r w:rsidRPr="00B11F88">
              <w:rPr>
                <w:rFonts w:ascii="Times New Roman" w:eastAsia="SimSun" w:hAnsi="Times New Roman" w:cs="Times New Roman"/>
                <w:sz w:val="24"/>
                <w:szCs w:val="24"/>
                <w:shd w:val="clear" w:color="auto" w:fill="FFFFFF"/>
                <w:lang w:val="ru-RU"/>
              </w:rPr>
              <w:t>роботи</w:t>
            </w:r>
            <w:proofErr w:type="spellEnd"/>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Кількість</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дітей</w:t>
            </w:r>
            <w:proofErr w:type="spellEnd"/>
          </w:p>
        </w:tc>
      </w:tr>
      <w:tr w:rsidR="00B11F88" w:rsidRPr="00B11F88" w:rsidTr="009549DE">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p>
        </w:tc>
        <w:tc>
          <w:tcPr>
            <w:tcW w:w="27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p>
        </w:tc>
        <w:tc>
          <w:tcPr>
            <w:tcW w:w="22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усього</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категорійні</w:t>
            </w:r>
            <w:proofErr w:type="spellEnd"/>
          </w:p>
        </w:tc>
      </w:tr>
      <w:tr w:rsidR="00B11F88" w:rsidRPr="00B11F88" w:rsidTr="009549D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rPr>
              <w:t>1</w:t>
            </w:r>
          </w:p>
        </w:tc>
        <w:tc>
          <w:tcPr>
            <w:tcW w:w="2749"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rPr>
              <w:t xml:space="preserve">«Соколятко», гімназія № 1 (у </w:t>
            </w:r>
            <w:proofErr w:type="spellStart"/>
            <w:r w:rsidRPr="00B11F88">
              <w:rPr>
                <w:rFonts w:ascii="Times New Roman" w:eastAsia="SimSun" w:hAnsi="Times New Roman" w:cs="Times New Roman"/>
                <w:sz w:val="24"/>
                <w:szCs w:val="24"/>
                <w:shd w:val="clear" w:color="auto" w:fill="FFFFFF"/>
              </w:rPr>
              <w:t>т.ч</w:t>
            </w:r>
            <w:proofErr w:type="spellEnd"/>
            <w:r w:rsidRPr="00B11F88">
              <w:rPr>
                <w:rFonts w:ascii="Times New Roman" w:eastAsia="SimSun" w:hAnsi="Times New Roman" w:cs="Times New Roman"/>
                <w:sz w:val="24"/>
                <w:szCs w:val="24"/>
                <w:shd w:val="clear" w:color="auto" w:fill="FFFFFF"/>
              </w:rPr>
              <w:t>. гімназії № 5,6,13, ЗОШ № 7)</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вул</w:t>
            </w:r>
            <w:proofErr w:type="spellEnd"/>
            <w:r w:rsidRPr="00B11F88">
              <w:rPr>
                <w:rFonts w:ascii="Times New Roman" w:eastAsia="SimSun" w:hAnsi="Times New Roman" w:cs="Times New Roman"/>
                <w:sz w:val="24"/>
                <w:szCs w:val="24"/>
                <w:shd w:val="clear" w:color="auto" w:fill="FFFFFF"/>
                <w:lang w:val="ru-RU"/>
              </w:rPr>
              <w:t>. Гребінки,4</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2-34-67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04.06-21.06.2024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202</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92</w:t>
            </w:r>
          </w:p>
        </w:tc>
      </w:tr>
      <w:tr w:rsidR="00B11F88" w:rsidRPr="00B11F88" w:rsidTr="009549D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rPr>
              <w:t>2</w:t>
            </w: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w:t>
            </w:r>
            <w:proofErr w:type="spellStart"/>
            <w:r w:rsidRPr="00B11F88">
              <w:rPr>
                <w:rFonts w:ascii="Times New Roman" w:eastAsia="SimSun" w:hAnsi="Times New Roman" w:cs="Times New Roman"/>
                <w:sz w:val="24"/>
                <w:szCs w:val="24"/>
                <w:shd w:val="clear" w:color="auto" w:fill="FFFFFF"/>
                <w:lang w:val="ru-RU"/>
              </w:rPr>
              <w:t>Посмішка</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гімназія</w:t>
            </w:r>
            <w:proofErr w:type="spellEnd"/>
            <w:r w:rsidRPr="00B11F88">
              <w:rPr>
                <w:rFonts w:ascii="Times New Roman" w:eastAsia="SimSun" w:hAnsi="Times New Roman" w:cs="Times New Roman"/>
                <w:sz w:val="24"/>
                <w:szCs w:val="24"/>
                <w:shd w:val="clear" w:color="auto" w:fill="FFFFFF"/>
                <w:lang w:val="ru-RU"/>
              </w:rPr>
              <w:t xml:space="preserve"> </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lang w:val="ru-RU"/>
              </w:rPr>
              <w:t>№ 10</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вул</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Станіслава</w:t>
            </w:r>
            <w:proofErr w:type="spellEnd"/>
            <w:r w:rsidRPr="00B11F88">
              <w:rPr>
                <w:rFonts w:ascii="Times New Roman" w:eastAsia="SimSun" w:hAnsi="Times New Roman" w:cs="Times New Roman"/>
                <w:sz w:val="24"/>
                <w:szCs w:val="24"/>
                <w:shd w:val="clear" w:color="auto" w:fill="FFFFFF"/>
                <w:lang w:val="ru-RU"/>
              </w:rPr>
              <w:t xml:space="preserve"> Прощенка, 54, </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4-15-27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04.06-21.06.2024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276</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121</w:t>
            </w:r>
          </w:p>
        </w:tc>
      </w:tr>
      <w:tr w:rsidR="00B11F88" w:rsidRPr="00B11F88" w:rsidTr="009549D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rPr>
              <w:t>3</w:t>
            </w:r>
          </w:p>
        </w:tc>
        <w:tc>
          <w:tcPr>
            <w:tcW w:w="2749"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 xml:space="preserve">«Сонечко», ЗОШ І-ІІІ ст. №15 (у </w:t>
            </w:r>
            <w:proofErr w:type="spellStart"/>
            <w:r w:rsidRPr="00B11F88">
              <w:rPr>
                <w:rFonts w:ascii="Times New Roman" w:eastAsia="SimSun" w:hAnsi="Times New Roman" w:cs="Times New Roman"/>
                <w:sz w:val="24"/>
                <w:szCs w:val="24"/>
                <w:shd w:val="clear" w:color="auto" w:fill="FFFFFF"/>
                <w:lang w:val="ru-RU"/>
              </w:rPr>
              <w:t>т.ч</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гімназія</w:t>
            </w:r>
            <w:proofErr w:type="spellEnd"/>
            <w:r w:rsidRPr="00B11F88">
              <w:rPr>
                <w:rFonts w:ascii="Times New Roman" w:eastAsia="SimSun" w:hAnsi="Times New Roman" w:cs="Times New Roman"/>
                <w:sz w:val="24"/>
                <w:szCs w:val="24"/>
                <w:shd w:val="clear" w:color="auto" w:fill="FFFFFF"/>
                <w:lang w:val="ru-RU"/>
              </w:rPr>
              <w:t xml:space="preserve"> № 14)</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вул</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Об’їжджа</w:t>
            </w:r>
            <w:proofErr w:type="spellEnd"/>
            <w:r w:rsidRPr="00B11F88">
              <w:rPr>
                <w:rFonts w:ascii="Times New Roman" w:eastAsia="SimSun" w:hAnsi="Times New Roman" w:cs="Times New Roman"/>
                <w:sz w:val="24"/>
                <w:szCs w:val="24"/>
                <w:shd w:val="clear" w:color="auto" w:fill="FFFFFF"/>
                <w:lang w:val="ru-RU"/>
              </w:rPr>
              <w:t>, 123</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3-14-42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04.06-21.06.2024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226</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74</w:t>
            </w:r>
          </w:p>
        </w:tc>
      </w:tr>
      <w:tr w:rsidR="00B11F88" w:rsidRPr="00B11F88" w:rsidTr="009549D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rPr>
              <w:t>4</w:t>
            </w:r>
          </w:p>
        </w:tc>
        <w:tc>
          <w:tcPr>
            <w:tcW w:w="2749"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w:t>
            </w:r>
            <w:proofErr w:type="spellStart"/>
            <w:r w:rsidRPr="00B11F88">
              <w:rPr>
                <w:rFonts w:ascii="Times New Roman" w:eastAsia="SimSun" w:hAnsi="Times New Roman" w:cs="Times New Roman"/>
                <w:sz w:val="24"/>
                <w:szCs w:val="24"/>
                <w:shd w:val="clear" w:color="auto" w:fill="FFFFFF"/>
                <w:lang w:val="ru-RU"/>
              </w:rPr>
              <w:t>Зоряний</w:t>
            </w:r>
            <w:proofErr w:type="spellEnd"/>
            <w:r w:rsidRPr="00B11F88">
              <w:rPr>
                <w:rFonts w:ascii="Times New Roman" w:eastAsia="SimSun" w:hAnsi="Times New Roman" w:cs="Times New Roman"/>
                <w:sz w:val="24"/>
                <w:szCs w:val="24"/>
                <w:shd w:val="clear" w:color="auto" w:fill="FFFFFF"/>
                <w:lang w:val="ru-RU"/>
              </w:rPr>
              <w:t xml:space="preserve">», ННВК № 16 (у </w:t>
            </w:r>
            <w:proofErr w:type="spellStart"/>
            <w:r w:rsidRPr="00B11F88">
              <w:rPr>
                <w:rFonts w:ascii="Times New Roman" w:eastAsia="SimSun" w:hAnsi="Times New Roman" w:cs="Times New Roman"/>
                <w:sz w:val="24"/>
                <w:szCs w:val="24"/>
                <w:shd w:val="clear" w:color="auto" w:fill="FFFFFF"/>
                <w:lang w:val="ru-RU"/>
              </w:rPr>
              <w:t>т.ч</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гімназія</w:t>
            </w:r>
            <w:proofErr w:type="spellEnd"/>
            <w:r w:rsidRPr="00B11F88">
              <w:rPr>
                <w:rFonts w:ascii="Times New Roman" w:eastAsia="SimSun" w:hAnsi="Times New Roman" w:cs="Times New Roman"/>
                <w:sz w:val="24"/>
                <w:szCs w:val="24"/>
                <w:shd w:val="clear" w:color="auto" w:fill="FFFFFF"/>
                <w:lang w:val="ru-RU"/>
              </w:rPr>
              <w:t xml:space="preserve"> №9,</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ЗОШ № 11)</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вул</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Мацієвського</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Олександра</w:t>
            </w:r>
            <w:proofErr w:type="spellEnd"/>
            <w:r w:rsidRPr="00B11F88">
              <w:rPr>
                <w:rFonts w:ascii="Times New Roman" w:eastAsia="SimSun" w:hAnsi="Times New Roman" w:cs="Times New Roman"/>
                <w:sz w:val="24"/>
                <w:szCs w:val="24"/>
                <w:shd w:val="clear" w:color="auto" w:fill="FFFFFF"/>
                <w:lang w:val="ru-RU"/>
              </w:rPr>
              <w:t>, 11</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3-12-03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04.06-21.06.2024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133</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42</w:t>
            </w:r>
          </w:p>
        </w:tc>
      </w:tr>
      <w:tr w:rsidR="00B11F88" w:rsidRPr="00B11F88" w:rsidTr="009549D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rPr>
              <w:t>5</w:t>
            </w:r>
          </w:p>
        </w:tc>
        <w:tc>
          <w:tcPr>
            <w:tcW w:w="2749"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w:t>
            </w:r>
            <w:proofErr w:type="spellStart"/>
            <w:r w:rsidRPr="00B11F88">
              <w:rPr>
                <w:rFonts w:ascii="Times New Roman" w:eastAsia="SimSun" w:hAnsi="Times New Roman" w:cs="Times New Roman"/>
                <w:sz w:val="24"/>
                <w:szCs w:val="24"/>
                <w:shd w:val="clear" w:color="auto" w:fill="FFFFFF"/>
                <w:lang w:val="ru-RU"/>
              </w:rPr>
              <w:t>Лісовичок</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гімназія</w:t>
            </w:r>
            <w:proofErr w:type="spellEnd"/>
            <w:r w:rsidRPr="00B11F88">
              <w:rPr>
                <w:rFonts w:ascii="Times New Roman" w:eastAsia="SimSun" w:hAnsi="Times New Roman" w:cs="Times New Roman"/>
                <w:sz w:val="24"/>
                <w:szCs w:val="24"/>
                <w:shd w:val="clear" w:color="auto" w:fill="FFFFFF"/>
                <w:lang w:val="ru-RU"/>
              </w:rPr>
              <w:t xml:space="preserve"> </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 17</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вул</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Прилуцька</w:t>
            </w:r>
            <w:proofErr w:type="spellEnd"/>
            <w:r w:rsidRPr="00B11F88">
              <w:rPr>
                <w:rFonts w:ascii="Times New Roman" w:eastAsia="SimSun" w:hAnsi="Times New Roman" w:cs="Times New Roman"/>
                <w:sz w:val="24"/>
                <w:szCs w:val="24"/>
                <w:shd w:val="clear" w:color="auto" w:fill="FFFFFF"/>
                <w:lang w:val="ru-RU"/>
              </w:rPr>
              <w:t>, 162; 2-67-85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04.06-21.06.2024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83</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45</w:t>
            </w:r>
          </w:p>
        </w:tc>
      </w:tr>
      <w:tr w:rsidR="00B11F88" w:rsidRPr="00B11F88" w:rsidTr="009549D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sz w:val="24"/>
                <w:szCs w:val="24"/>
                <w:shd w:val="clear" w:color="auto" w:fill="FFFFFF"/>
              </w:rPr>
              <w:t>6</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w:t>
            </w:r>
            <w:proofErr w:type="spellStart"/>
            <w:r w:rsidRPr="00B11F88">
              <w:rPr>
                <w:rFonts w:ascii="Times New Roman" w:eastAsia="SimSun" w:hAnsi="Times New Roman" w:cs="Times New Roman"/>
                <w:sz w:val="24"/>
                <w:szCs w:val="24"/>
                <w:shd w:val="clear" w:color="auto" w:fill="FFFFFF"/>
                <w:lang w:val="ru-RU"/>
              </w:rPr>
              <w:t>Tvorchi</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Ніжинський</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Будинок</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дітей</w:t>
            </w:r>
            <w:proofErr w:type="spellEnd"/>
            <w:r w:rsidRPr="00B11F88">
              <w:rPr>
                <w:rFonts w:ascii="Times New Roman" w:eastAsia="SimSun" w:hAnsi="Times New Roman" w:cs="Times New Roman"/>
                <w:sz w:val="24"/>
                <w:szCs w:val="24"/>
                <w:shd w:val="clear" w:color="auto" w:fill="FFFFFF"/>
                <w:lang w:val="ru-RU"/>
              </w:rPr>
              <w:t xml:space="preserve"> та </w:t>
            </w:r>
            <w:proofErr w:type="spellStart"/>
            <w:r w:rsidRPr="00B11F88">
              <w:rPr>
                <w:rFonts w:ascii="Times New Roman" w:eastAsia="SimSun" w:hAnsi="Times New Roman" w:cs="Times New Roman"/>
                <w:sz w:val="24"/>
                <w:szCs w:val="24"/>
                <w:shd w:val="clear" w:color="auto" w:fill="FFFFFF"/>
                <w:lang w:val="ru-RU"/>
              </w:rPr>
              <w:t>юнацтва</w:t>
            </w:r>
            <w:proofErr w:type="spellEnd"/>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sz w:val="24"/>
                <w:szCs w:val="24"/>
                <w:shd w:val="clear" w:color="auto" w:fill="FFFFFF"/>
                <w:lang w:val="ru-RU"/>
              </w:rPr>
              <w:t>вул</w:t>
            </w:r>
            <w:proofErr w:type="spellEnd"/>
            <w:r w:rsidRPr="00B11F88">
              <w:rPr>
                <w:rFonts w:ascii="Times New Roman" w:eastAsia="SimSun" w:hAnsi="Times New Roman" w:cs="Times New Roman"/>
                <w:sz w:val="24"/>
                <w:szCs w:val="24"/>
                <w:shd w:val="clear" w:color="auto" w:fill="FFFFFF"/>
                <w:lang w:val="ru-RU"/>
              </w:rPr>
              <w:t xml:space="preserve">. </w:t>
            </w:r>
            <w:proofErr w:type="spellStart"/>
            <w:r w:rsidRPr="00B11F88">
              <w:rPr>
                <w:rFonts w:ascii="Times New Roman" w:eastAsia="SimSun" w:hAnsi="Times New Roman" w:cs="Times New Roman"/>
                <w:sz w:val="24"/>
                <w:szCs w:val="24"/>
                <w:shd w:val="clear" w:color="auto" w:fill="FFFFFF"/>
                <w:lang w:val="ru-RU"/>
              </w:rPr>
              <w:t>Богуна</w:t>
            </w:r>
            <w:proofErr w:type="spellEnd"/>
            <w:r w:rsidRPr="00B11F88">
              <w:rPr>
                <w:rFonts w:ascii="Times New Roman" w:eastAsia="SimSun" w:hAnsi="Times New Roman" w:cs="Times New Roman"/>
                <w:sz w:val="24"/>
                <w:szCs w:val="24"/>
                <w:shd w:val="clear" w:color="auto" w:fill="FFFFFF"/>
                <w:lang w:val="ru-RU"/>
              </w:rPr>
              <w:t>, 14-Б,</w:t>
            </w:r>
          </w:p>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7-19-15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25.06-12.07.2024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76</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r w:rsidRPr="00B11F88">
              <w:rPr>
                <w:rFonts w:ascii="Times New Roman" w:eastAsia="SimSun" w:hAnsi="Times New Roman" w:cs="Times New Roman"/>
                <w:sz w:val="24"/>
                <w:szCs w:val="24"/>
                <w:shd w:val="clear" w:color="auto" w:fill="FFFFFF"/>
                <w:lang w:val="ru-RU"/>
              </w:rPr>
              <w:t>29</w:t>
            </w:r>
          </w:p>
        </w:tc>
      </w:tr>
      <w:tr w:rsidR="00B11F88" w:rsidRPr="00B11F88" w:rsidTr="009549D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roofErr w:type="spellStart"/>
            <w:r w:rsidRPr="00B11F88">
              <w:rPr>
                <w:rFonts w:ascii="Times New Roman" w:eastAsia="SimSun" w:hAnsi="Times New Roman" w:cs="Times New Roman"/>
                <w:b/>
                <w:sz w:val="24"/>
                <w:szCs w:val="24"/>
                <w:shd w:val="clear" w:color="auto" w:fill="FFFFFF"/>
                <w:lang w:val="ru-RU"/>
              </w:rPr>
              <w:t>Усього</w:t>
            </w:r>
            <w:proofErr w:type="spellEnd"/>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b/>
                <w:sz w:val="24"/>
                <w:szCs w:val="24"/>
                <w:shd w:val="clear" w:color="auto" w:fill="FFFFFF"/>
              </w:rPr>
              <w:t>996</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B11F88" w:rsidRPr="00B11F88" w:rsidRDefault="00B11F88" w:rsidP="00B11F88">
            <w:pPr>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B11F88">
              <w:rPr>
                <w:rFonts w:ascii="Times New Roman" w:eastAsia="SimSun" w:hAnsi="Times New Roman" w:cs="Times New Roman"/>
                <w:b/>
                <w:sz w:val="24"/>
                <w:szCs w:val="24"/>
                <w:shd w:val="clear" w:color="auto" w:fill="FFFFFF"/>
              </w:rPr>
              <w:t>403</w:t>
            </w:r>
          </w:p>
        </w:tc>
      </w:tr>
    </w:tbl>
    <w:p w:rsidR="00432BFF" w:rsidRPr="00123C3F" w:rsidRDefault="00432BFF" w:rsidP="00432BFF">
      <w:pPr>
        <w:tabs>
          <w:tab w:val="left" w:pos="915"/>
        </w:tabs>
        <w:overflowPunct w:val="0"/>
        <w:autoSpaceDE w:val="0"/>
        <w:autoSpaceDN w:val="0"/>
        <w:adjustRightInd w:val="0"/>
        <w:spacing w:after="200" w:line="240" w:lineRule="auto"/>
        <w:contextualSpacing/>
        <w:jc w:val="both"/>
        <w:textAlignment w:val="baseline"/>
        <w:rPr>
          <w:rFonts w:ascii="Times New Roman" w:eastAsia="SimSun" w:hAnsi="Times New Roman" w:cs="Times New Roman"/>
          <w:sz w:val="24"/>
          <w:szCs w:val="24"/>
          <w:shd w:val="clear" w:color="auto" w:fill="FFFFFF"/>
        </w:rPr>
      </w:pPr>
      <w:r w:rsidRPr="00123C3F">
        <w:rPr>
          <w:rFonts w:ascii="Times New Roman" w:eastAsia="SimSun" w:hAnsi="Times New Roman" w:cs="Times New Roman"/>
          <w:sz w:val="24"/>
          <w:szCs w:val="24"/>
          <w:shd w:val="clear" w:color="auto" w:fill="FFFFFF"/>
        </w:rPr>
        <w:tab/>
      </w:r>
    </w:p>
    <w:p w:rsidR="00432BFF" w:rsidRPr="00B11F88" w:rsidRDefault="00432BFF" w:rsidP="00B11F88">
      <w:pPr>
        <w:widowControl w:val="0"/>
        <w:suppressAutoHyphens/>
        <w:ind w:firstLine="360"/>
        <w:jc w:val="both"/>
        <w:rPr>
          <w:rFonts w:ascii="Times New Roman" w:eastAsia="Times New Roman" w:hAnsi="Times New Roman" w:cs="Times New Roman"/>
          <w:sz w:val="24"/>
          <w:szCs w:val="24"/>
          <w:lang w:eastAsia="en-US"/>
        </w:rPr>
      </w:pPr>
      <w:r w:rsidRPr="00123C3F">
        <w:rPr>
          <w:rFonts w:ascii="Times New Roman" w:eastAsia="Times New Roman" w:hAnsi="Times New Roman" w:cs="Times New Roman"/>
          <w:sz w:val="24"/>
          <w:szCs w:val="24"/>
          <w:lang w:eastAsia="en-US"/>
        </w:rPr>
        <w:t xml:space="preserve">Учасник  повинен надати калькуляцію (розрахунок)  вартості послуг з харчування </w:t>
      </w:r>
      <w:r w:rsidR="00762614" w:rsidRPr="00762614">
        <w:rPr>
          <w:rFonts w:ascii="Times New Roman" w:eastAsia="Times New Roman" w:hAnsi="Times New Roman" w:cs="Times New Roman"/>
          <w:sz w:val="24"/>
          <w:szCs w:val="24"/>
          <w:lang w:eastAsia="en-US"/>
        </w:rPr>
        <w:t>дітей в таборах</w:t>
      </w:r>
      <w:r w:rsidR="00CA08B3">
        <w:rPr>
          <w:rFonts w:ascii="Times New Roman" w:eastAsia="Times New Roman" w:hAnsi="Times New Roman" w:cs="Times New Roman"/>
          <w:sz w:val="24"/>
          <w:szCs w:val="24"/>
          <w:lang w:eastAsia="en-US"/>
        </w:rPr>
        <w:t xml:space="preserve"> з денним перебуванням</w:t>
      </w:r>
      <w:r w:rsidRPr="00123C3F">
        <w:rPr>
          <w:rFonts w:ascii="Times New Roman" w:eastAsia="Times New Roman" w:hAnsi="Times New Roman" w:cs="Times New Roman"/>
          <w:sz w:val="24"/>
          <w:szCs w:val="24"/>
          <w:lang w:eastAsia="en-US"/>
        </w:rPr>
        <w:t xml:space="preserve"> одного </w:t>
      </w:r>
      <w:proofErr w:type="spellStart"/>
      <w:r w:rsidRPr="00123C3F">
        <w:rPr>
          <w:rFonts w:ascii="Times New Roman" w:eastAsia="Times New Roman" w:hAnsi="Times New Roman" w:cs="Times New Roman"/>
          <w:sz w:val="24"/>
          <w:szCs w:val="24"/>
          <w:lang w:eastAsia="en-US"/>
        </w:rPr>
        <w:t>діто</w:t>
      </w:r>
      <w:proofErr w:type="spellEnd"/>
      <w:r w:rsidR="00507812" w:rsidRPr="00507812">
        <w:rPr>
          <w:rFonts w:ascii="Times New Roman" w:eastAsia="Times New Roman" w:hAnsi="Times New Roman" w:cs="Times New Roman"/>
          <w:sz w:val="24"/>
          <w:szCs w:val="24"/>
          <w:lang w:val="ru-RU" w:eastAsia="en-US"/>
        </w:rPr>
        <w:t>/</w:t>
      </w:r>
      <w:r w:rsidRPr="00123C3F">
        <w:rPr>
          <w:rFonts w:ascii="Times New Roman" w:eastAsia="Times New Roman" w:hAnsi="Times New Roman" w:cs="Times New Roman"/>
          <w:sz w:val="24"/>
          <w:szCs w:val="24"/>
          <w:lang w:eastAsia="en-US"/>
        </w:rPr>
        <w:t xml:space="preserve">дня з обов’язковим зазначенням розміру торгівельної надбавки, за формою, наведеною у </w:t>
      </w:r>
      <w:r w:rsidRPr="00123C3F">
        <w:rPr>
          <w:rFonts w:ascii="Times New Roman" w:eastAsia="Times New Roman" w:hAnsi="Times New Roman" w:cs="Times New Roman"/>
          <w:i/>
          <w:sz w:val="24"/>
          <w:szCs w:val="24"/>
          <w:lang w:eastAsia="en-US"/>
        </w:rPr>
        <w:t>Таблиці 1</w:t>
      </w:r>
    </w:p>
    <w:p w:rsidR="00432BFF" w:rsidRPr="00432BFF" w:rsidRDefault="00432BFF" w:rsidP="00432BFF">
      <w:pPr>
        <w:spacing w:after="200" w:line="240" w:lineRule="auto"/>
        <w:contextualSpacing/>
        <w:jc w:val="right"/>
        <w:rPr>
          <w:rFonts w:ascii="Times New Roman" w:eastAsia="Times New Roman" w:hAnsi="Times New Roman" w:cs="Times New Roman"/>
          <w:b/>
          <w:i/>
          <w:sz w:val="24"/>
          <w:szCs w:val="24"/>
        </w:rPr>
      </w:pPr>
      <w:r w:rsidRPr="00432BFF">
        <w:rPr>
          <w:rFonts w:ascii="Times New Roman" w:eastAsia="Times New Roman" w:hAnsi="Times New Roman" w:cs="Times New Roman"/>
          <w:b/>
          <w:i/>
          <w:sz w:val="24"/>
          <w:szCs w:val="24"/>
        </w:rPr>
        <w:t>Таблиця 1</w:t>
      </w:r>
    </w:p>
    <w:p w:rsidR="00432BFF" w:rsidRPr="00432BFF" w:rsidRDefault="00432BFF" w:rsidP="00432BFF">
      <w:pPr>
        <w:widowControl w:val="0"/>
        <w:tabs>
          <w:tab w:val="left" w:pos="720"/>
        </w:tabs>
        <w:suppressAutoHyphens/>
        <w:ind w:left="360"/>
        <w:jc w:val="center"/>
        <w:rPr>
          <w:rFonts w:eastAsia="Times New Roman" w:cs="Times New Roman"/>
          <w:b/>
          <w:lang w:eastAsia="en-US"/>
        </w:rPr>
      </w:pPr>
      <w:r w:rsidRPr="00432BFF">
        <w:rPr>
          <w:rFonts w:eastAsia="Times New Roman" w:cs="Times New Roman"/>
          <w:b/>
          <w:lang w:eastAsia="en-US"/>
        </w:rPr>
        <w:t>КАЛЬКУЛЯЦІЯ</w:t>
      </w:r>
    </w:p>
    <w:p w:rsidR="00432BFF" w:rsidRPr="00432BFF" w:rsidRDefault="00432BFF" w:rsidP="00432BFF">
      <w:pPr>
        <w:widowControl w:val="0"/>
        <w:tabs>
          <w:tab w:val="left" w:pos="720"/>
        </w:tabs>
        <w:suppressAutoHyphens/>
        <w:ind w:left="360"/>
        <w:jc w:val="center"/>
        <w:rPr>
          <w:rFonts w:eastAsia="Times New Roman" w:cs="Times New Roman"/>
          <w:lang w:eastAsia="en-US"/>
        </w:rPr>
      </w:pPr>
      <w:r w:rsidRPr="00432BFF">
        <w:rPr>
          <w:rFonts w:eastAsia="Times New Roman" w:cs="Times New Roman"/>
          <w:lang w:eastAsia="en-US"/>
        </w:rPr>
        <w:t>вартості послуг з харчування учнів</w:t>
      </w:r>
      <w:r w:rsidR="00CA08B3">
        <w:rPr>
          <w:rFonts w:eastAsia="Times New Roman" w:cs="Times New Roman"/>
          <w:lang w:eastAsia="en-US"/>
        </w:rPr>
        <w:t>, вихованців у</w:t>
      </w:r>
      <w:r w:rsidR="005B7A4D">
        <w:rPr>
          <w:rFonts w:eastAsia="Times New Roman" w:cs="Times New Roman"/>
          <w:lang w:eastAsia="en-US"/>
        </w:rPr>
        <w:t xml:space="preserve"> таборах </w:t>
      </w:r>
      <w:r w:rsidRPr="00432BFF">
        <w:rPr>
          <w:rFonts w:eastAsia="Times New Roman" w:cs="Times New Roman"/>
          <w:lang w:eastAsia="en-US"/>
        </w:rPr>
        <w:t xml:space="preserve"> </w:t>
      </w:r>
      <w:r w:rsidR="00CA08B3">
        <w:rPr>
          <w:rFonts w:eastAsia="Times New Roman" w:cs="Times New Roman"/>
          <w:lang w:eastAsia="en-US"/>
        </w:rPr>
        <w:t xml:space="preserve">з денним перебуванням </w:t>
      </w:r>
      <w:r w:rsidR="00507812">
        <w:rPr>
          <w:rFonts w:eastAsia="Times New Roman" w:cs="Times New Roman"/>
          <w:lang w:eastAsia="en-US"/>
        </w:rPr>
        <w:t>в 2024</w:t>
      </w:r>
      <w:r w:rsidR="005B7A4D">
        <w:rPr>
          <w:rFonts w:eastAsia="Times New Roman" w:cs="Times New Roman"/>
          <w:lang w:eastAsia="en-US"/>
        </w:rPr>
        <w:t>р.</w:t>
      </w:r>
    </w:p>
    <w:p w:rsidR="00432BFF" w:rsidRPr="00432BFF" w:rsidRDefault="00432BFF" w:rsidP="00432BFF">
      <w:pPr>
        <w:widowControl w:val="0"/>
        <w:tabs>
          <w:tab w:val="left" w:pos="720"/>
        </w:tabs>
        <w:suppressAutoHyphens/>
        <w:ind w:left="360"/>
        <w:jc w:val="center"/>
        <w:rPr>
          <w:rFonts w:eastAsia="Times New Roman" w:cs="Times New Roman"/>
          <w:lang w:eastAsia="en-US"/>
        </w:rPr>
      </w:pPr>
      <w:r w:rsidRPr="00432BFF">
        <w:rPr>
          <w:rFonts w:eastAsia="Times New Roman" w:cs="Times New Roman"/>
          <w:lang w:eastAsia="en-US"/>
        </w:rPr>
        <w:t>___________________________________________________________</w:t>
      </w:r>
    </w:p>
    <w:p w:rsidR="00432BFF" w:rsidRPr="00432BFF" w:rsidRDefault="00432BFF" w:rsidP="00432BFF">
      <w:pPr>
        <w:widowControl w:val="0"/>
        <w:tabs>
          <w:tab w:val="left" w:pos="720"/>
        </w:tabs>
        <w:suppressAutoHyphens/>
        <w:ind w:left="360"/>
        <w:jc w:val="center"/>
        <w:rPr>
          <w:rFonts w:eastAsia="Times New Roman" w:cs="Times New Roman"/>
          <w:i/>
          <w:lang w:eastAsia="en-US"/>
        </w:rPr>
      </w:pPr>
      <w:r w:rsidRPr="00432BFF">
        <w:rPr>
          <w:rFonts w:eastAsia="Times New Roman" w:cs="Times New Roman"/>
          <w:lang w:eastAsia="en-US"/>
        </w:rPr>
        <w:tab/>
      </w:r>
      <w:r w:rsidRPr="00432BFF">
        <w:rPr>
          <w:rFonts w:eastAsia="Times New Roman" w:cs="Times New Roman"/>
          <w:i/>
          <w:lang w:eastAsia="en-US"/>
        </w:rPr>
        <w:t>(назва учасника торгів)</w:t>
      </w:r>
    </w:p>
    <w:p w:rsidR="00432BFF" w:rsidRPr="00432BFF" w:rsidRDefault="00432BFF" w:rsidP="00432BFF">
      <w:pPr>
        <w:widowControl w:val="0"/>
        <w:tabs>
          <w:tab w:val="left" w:pos="720"/>
        </w:tabs>
        <w:suppressAutoHyphens/>
        <w:rPr>
          <w:rFonts w:eastAsia="Times New Roman" w:cs="Times New Roman"/>
          <w:b/>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50"/>
        <w:gridCol w:w="2040"/>
        <w:gridCol w:w="2375"/>
      </w:tblGrid>
      <w:tr w:rsidR="00432BFF" w:rsidRPr="00432BFF" w:rsidTr="00C076CC">
        <w:tc>
          <w:tcPr>
            <w:tcW w:w="576" w:type="dxa"/>
          </w:tcPr>
          <w:p w:rsidR="00432BFF" w:rsidRPr="00432BFF" w:rsidRDefault="00432BFF" w:rsidP="00432BFF">
            <w:pPr>
              <w:widowControl w:val="0"/>
              <w:tabs>
                <w:tab w:val="left" w:pos="720"/>
              </w:tabs>
              <w:suppressAutoHyphens/>
              <w:jc w:val="center"/>
              <w:rPr>
                <w:rFonts w:eastAsia="Times New Roman" w:cs="Times New Roman"/>
                <w:lang w:eastAsia="en-US"/>
              </w:rPr>
            </w:pPr>
            <w:r w:rsidRPr="00432BFF">
              <w:rPr>
                <w:rFonts w:eastAsia="Times New Roman" w:cs="Times New Roman"/>
                <w:lang w:eastAsia="en-US"/>
              </w:rPr>
              <w:t>№</w:t>
            </w:r>
          </w:p>
        </w:tc>
        <w:tc>
          <w:tcPr>
            <w:tcW w:w="4650" w:type="dxa"/>
          </w:tcPr>
          <w:p w:rsidR="00432BFF" w:rsidRPr="00432BFF" w:rsidRDefault="00432BFF" w:rsidP="00432BFF">
            <w:pPr>
              <w:widowControl w:val="0"/>
              <w:tabs>
                <w:tab w:val="left" w:pos="720"/>
              </w:tabs>
              <w:suppressAutoHyphens/>
              <w:jc w:val="center"/>
              <w:rPr>
                <w:rFonts w:eastAsia="Times New Roman" w:cs="Times New Roman"/>
                <w:lang w:eastAsia="en-US"/>
              </w:rPr>
            </w:pPr>
            <w:r w:rsidRPr="00432BFF">
              <w:rPr>
                <w:rFonts w:eastAsia="Times New Roman" w:cs="Times New Roman"/>
                <w:lang w:eastAsia="en-US"/>
              </w:rPr>
              <w:t>Найменування витрат</w:t>
            </w:r>
          </w:p>
        </w:tc>
        <w:tc>
          <w:tcPr>
            <w:tcW w:w="2040" w:type="dxa"/>
          </w:tcPr>
          <w:p w:rsidR="00432BFF" w:rsidRPr="00432BFF" w:rsidRDefault="00432BFF" w:rsidP="00432BFF">
            <w:pPr>
              <w:widowControl w:val="0"/>
              <w:tabs>
                <w:tab w:val="left" w:pos="720"/>
              </w:tabs>
              <w:suppressAutoHyphens/>
              <w:jc w:val="center"/>
              <w:rPr>
                <w:rFonts w:eastAsia="Times New Roman" w:cs="Times New Roman"/>
                <w:lang w:eastAsia="en-US"/>
              </w:rPr>
            </w:pPr>
            <w:r w:rsidRPr="00432BFF">
              <w:rPr>
                <w:rFonts w:eastAsia="Times New Roman" w:cs="Times New Roman"/>
                <w:lang w:eastAsia="en-US"/>
              </w:rPr>
              <w:t>Розмір витрат,</w:t>
            </w:r>
          </w:p>
          <w:p w:rsidR="00432BFF" w:rsidRPr="00432BFF" w:rsidRDefault="00432BFF" w:rsidP="00432BFF">
            <w:pPr>
              <w:widowControl w:val="0"/>
              <w:tabs>
                <w:tab w:val="left" w:pos="720"/>
              </w:tabs>
              <w:suppressAutoHyphens/>
              <w:jc w:val="center"/>
              <w:rPr>
                <w:rFonts w:eastAsia="Times New Roman" w:cs="Times New Roman"/>
                <w:lang w:eastAsia="en-US"/>
              </w:rPr>
            </w:pPr>
            <w:r w:rsidRPr="00432BFF">
              <w:rPr>
                <w:rFonts w:eastAsia="Times New Roman" w:cs="Times New Roman"/>
                <w:lang w:eastAsia="en-US"/>
              </w:rPr>
              <w:t>грн.</w:t>
            </w:r>
          </w:p>
        </w:tc>
        <w:tc>
          <w:tcPr>
            <w:tcW w:w="2375" w:type="dxa"/>
          </w:tcPr>
          <w:p w:rsidR="00432BFF" w:rsidRPr="00432BFF" w:rsidRDefault="00432BFF" w:rsidP="00432BFF">
            <w:pPr>
              <w:widowControl w:val="0"/>
              <w:tabs>
                <w:tab w:val="left" w:pos="720"/>
              </w:tabs>
              <w:suppressAutoHyphens/>
              <w:jc w:val="center"/>
              <w:rPr>
                <w:rFonts w:eastAsia="Times New Roman" w:cs="Times New Roman"/>
                <w:b/>
                <w:lang w:eastAsia="en-US"/>
              </w:rPr>
            </w:pPr>
            <w:r w:rsidRPr="00432BFF">
              <w:rPr>
                <w:rFonts w:eastAsia="Times New Roman" w:cs="Times New Roman"/>
                <w:b/>
                <w:lang w:eastAsia="en-US"/>
              </w:rPr>
              <w:t>Співвідношення</w:t>
            </w:r>
          </w:p>
          <w:p w:rsidR="00432BFF" w:rsidRPr="00432BFF" w:rsidRDefault="00432BFF" w:rsidP="00432BFF">
            <w:pPr>
              <w:widowControl w:val="0"/>
              <w:tabs>
                <w:tab w:val="left" w:pos="720"/>
              </w:tabs>
              <w:suppressAutoHyphens/>
              <w:jc w:val="center"/>
              <w:rPr>
                <w:rFonts w:eastAsia="Times New Roman" w:cs="Times New Roman"/>
                <w:b/>
                <w:lang w:eastAsia="en-US"/>
              </w:rPr>
            </w:pPr>
            <w:r w:rsidRPr="00432BFF">
              <w:rPr>
                <w:rFonts w:eastAsia="Times New Roman" w:cs="Times New Roman"/>
                <w:b/>
                <w:lang w:eastAsia="en-US"/>
              </w:rPr>
              <w:t xml:space="preserve"> у відсотковому вираженні </w:t>
            </w:r>
          </w:p>
        </w:tc>
      </w:tr>
      <w:tr w:rsidR="00432BFF" w:rsidRPr="00432BFF" w:rsidTr="00C076CC">
        <w:tc>
          <w:tcPr>
            <w:tcW w:w="576" w:type="dxa"/>
          </w:tcPr>
          <w:p w:rsidR="00432BFF" w:rsidRPr="00432BFF" w:rsidRDefault="00432BFF" w:rsidP="00432BFF">
            <w:pPr>
              <w:widowControl w:val="0"/>
              <w:tabs>
                <w:tab w:val="left" w:pos="720"/>
              </w:tabs>
              <w:suppressAutoHyphens/>
              <w:jc w:val="center"/>
              <w:rPr>
                <w:rFonts w:eastAsia="Times New Roman" w:cs="Times New Roman"/>
                <w:lang w:eastAsia="en-US"/>
              </w:rPr>
            </w:pPr>
          </w:p>
        </w:tc>
        <w:tc>
          <w:tcPr>
            <w:tcW w:w="4650" w:type="dxa"/>
          </w:tcPr>
          <w:p w:rsidR="00432BFF" w:rsidRPr="00432BFF" w:rsidRDefault="00432BFF" w:rsidP="00432BFF">
            <w:pPr>
              <w:widowControl w:val="0"/>
              <w:tabs>
                <w:tab w:val="left" w:pos="720"/>
              </w:tabs>
              <w:suppressAutoHyphens/>
              <w:jc w:val="center"/>
              <w:rPr>
                <w:rFonts w:eastAsia="Times New Roman" w:cs="Times New Roman"/>
                <w:b/>
                <w:lang w:eastAsia="en-US"/>
              </w:rPr>
            </w:pPr>
            <w:r w:rsidRPr="00432BFF">
              <w:rPr>
                <w:rFonts w:eastAsia="Times New Roman" w:cs="Times New Roman"/>
                <w:b/>
                <w:lang w:eastAsia="en-US"/>
              </w:rPr>
              <w:t xml:space="preserve">Ціна пропозиції </w:t>
            </w:r>
          </w:p>
          <w:p w:rsidR="00432BFF" w:rsidRPr="00432BFF" w:rsidRDefault="00432BFF" w:rsidP="00432BFF">
            <w:pPr>
              <w:widowControl w:val="0"/>
              <w:tabs>
                <w:tab w:val="left" w:pos="720"/>
              </w:tabs>
              <w:suppressAutoHyphens/>
              <w:jc w:val="center"/>
              <w:rPr>
                <w:rFonts w:eastAsia="Times New Roman" w:cs="Times New Roman"/>
                <w:b/>
                <w:lang w:eastAsia="en-US"/>
              </w:rPr>
            </w:pPr>
          </w:p>
        </w:tc>
        <w:tc>
          <w:tcPr>
            <w:tcW w:w="2040" w:type="dxa"/>
          </w:tcPr>
          <w:p w:rsidR="00432BFF" w:rsidRPr="00432BFF" w:rsidRDefault="00432BFF" w:rsidP="00432BFF">
            <w:pPr>
              <w:widowControl w:val="0"/>
              <w:tabs>
                <w:tab w:val="left" w:pos="720"/>
              </w:tabs>
              <w:suppressAutoHyphens/>
              <w:jc w:val="center"/>
              <w:rPr>
                <w:rFonts w:eastAsia="Times New Roman" w:cs="Times New Roman"/>
                <w:lang w:eastAsia="en-US"/>
              </w:rPr>
            </w:pPr>
          </w:p>
        </w:tc>
        <w:tc>
          <w:tcPr>
            <w:tcW w:w="2375" w:type="dxa"/>
          </w:tcPr>
          <w:p w:rsidR="00432BFF" w:rsidRPr="00432BFF" w:rsidRDefault="00432BFF" w:rsidP="00432BFF">
            <w:pPr>
              <w:widowControl w:val="0"/>
              <w:tabs>
                <w:tab w:val="left" w:pos="720"/>
              </w:tabs>
              <w:suppressAutoHyphens/>
              <w:jc w:val="center"/>
              <w:rPr>
                <w:rFonts w:eastAsia="Times New Roman" w:cs="Times New Roman"/>
                <w:lang w:eastAsia="en-US"/>
              </w:rPr>
            </w:pPr>
          </w:p>
        </w:tc>
      </w:tr>
      <w:tr w:rsidR="00432BFF" w:rsidRPr="00432BFF" w:rsidTr="00C076CC">
        <w:tc>
          <w:tcPr>
            <w:tcW w:w="576" w:type="dxa"/>
          </w:tcPr>
          <w:p w:rsidR="00432BFF" w:rsidRPr="00432BFF" w:rsidRDefault="00432BFF" w:rsidP="00432BFF">
            <w:pPr>
              <w:widowControl w:val="0"/>
              <w:tabs>
                <w:tab w:val="left" w:pos="720"/>
              </w:tabs>
              <w:suppressAutoHyphens/>
              <w:jc w:val="center"/>
              <w:rPr>
                <w:rFonts w:eastAsia="Times New Roman" w:cs="Times New Roman"/>
                <w:lang w:eastAsia="en-US"/>
              </w:rPr>
            </w:pPr>
            <w:r w:rsidRPr="00432BFF">
              <w:rPr>
                <w:rFonts w:eastAsia="Times New Roman" w:cs="Times New Roman"/>
                <w:lang w:eastAsia="en-US"/>
              </w:rPr>
              <w:t>1.</w:t>
            </w:r>
          </w:p>
        </w:tc>
        <w:tc>
          <w:tcPr>
            <w:tcW w:w="4650" w:type="dxa"/>
          </w:tcPr>
          <w:p w:rsidR="00432BFF" w:rsidRPr="00432BFF" w:rsidRDefault="00432BFF" w:rsidP="00432BFF">
            <w:pPr>
              <w:widowControl w:val="0"/>
              <w:tabs>
                <w:tab w:val="left" w:pos="720"/>
              </w:tabs>
              <w:suppressAutoHyphens/>
              <w:jc w:val="both"/>
              <w:rPr>
                <w:rFonts w:eastAsia="Times New Roman" w:cs="Times New Roman"/>
                <w:lang w:eastAsia="en-US"/>
              </w:rPr>
            </w:pPr>
            <w:r w:rsidRPr="00432BFF">
              <w:rPr>
                <w:rFonts w:eastAsia="Times New Roman" w:cs="Times New Roman"/>
                <w:lang w:eastAsia="en-US"/>
              </w:rPr>
              <w:t>Витрати на придбання продуктів харчування</w:t>
            </w:r>
          </w:p>
        </w:tc>
        <w:tc>
          <w:tcPr>
            <w:tcW w:w="2040" w:type="dxa"/>
          </w:tcPr>
          <w:p w:rsidR="00432BFF" w:rsidRPr="00432BFF" w:rsidRDefault="00432BFF" w:rsidP="00432BFF">
            <w:pPr>
              <w:widowControl w:val="0"/>
              <w:tabs>
                <w:tab w:val="left" w:pos="720"/>
              </w:tabs>
              <w:suppressAutoHyphens/>
              <w:jc w:val="both"/>
              <w:rPr>
                <w:rFonts w:eastAsia="Times New Roman" w:cs="Times New Roman"/>
                <w:lang w:eastAsia="en-US"/>
              </w:rPr>
            </w:pPr>
          </w:p>
        </w:tc>
        <w:tc>
          <w:tcPr>
            <w:tcW w:w="2375" w:type="dxa"/>
          </w:tcPr>
          <w:p w:rsidR="00432BFF" w:rsidRPr="00432BFF" w:rsidRDefault="00432BFF" w:rsidP="00432BFF">
            <w:pPr>
              <w:widowControl w:val="0"/>
              <w:tabs>
                <w:tab w:val="left" w:pos="720"/>
              </w:tabs>
              <w:suppressAutoHyphens/>
              <w:jc w:val="both"/>
              <w:rPr>
                <w:rFonts w:eastAsia="Times New Roman" w:cs="Times New Roman"/>
                <w:lang w:eastAsia="en-US"/>
              </w:rPr>
            </w:pPr>
          </w:p>
        </w:tc>
      </w:tr>
      <w:tr w:rsidR="00432BFF" w:rsidRPr="00432BFF" w:rsidTr="00C076CC">
        <w:tc>
          <w:tcPr>
            <w:tcW w:w="576" w:type="dxa"/>
          </w:tcPr>
          <w:p w:rsidR="00432BFF" w:rsidRPr="00432BFF" w:rsidRDefault="00432BFF" w:rsidP="00432BFF">
            <w:pPr>
              <w:widowControl w:val="0"/>
              <w:tabs>
                <w:tab w:val="left" w:pos="720"/>
              </w:tabs>
              <w:suppressAutoHyphens/>
              <w:jc w:val="center"/>
              <w:rPr>
                <w:rFonts w:eastAsia="Times New Roman" w:cs="Times New Roman"/>
                <w:lang w:eastAsia="en-US"/>
              </w:rPr>
            </w:pPr>
            <w:r w:rsidRPr="00432BFF">
              <w:rPr>
                <w:rFonts w:eastAsia="Times New Roman" w:cs="Times New Roman"/>
                <w:lang w:eastAsia="en-US"/>
              </w:rPr>
              <w:t>2.</w:t>
            </w:r>
          </w:p>
        </w:tc>
        <w:tc>
          <w:tcPr>
            <w:tcW w:w="4650" w:type="dxa"/>
          </w:tcPr>
          <w:p w:rsidR="00432BFF" w:rsidRPr="00432BFF" w:rsidRDefault="00432BFF" w:rsidP="00432BFF">
            <w:pPr>
              <w:widowControl w:val="0"/>
              <w:tabs>
                <w:tab w:val="left" w:pos="720"/>
              </w:tabs>
              <w:suppressAutoHyphens/>
              <w:jc w:val="both"/>
              <w:rPr>
                <w:rFonts w:eastAsia="Times New Roman" w:cs="Times New Roman"/>
                <w:b/>
                <w:lang w:eastAsia="en-US"/>
              </w:rPr>
            </w:pPr>
            <w:r w:rsidRPr="00432BFF">
              <w:rPr>
                <w:rFonts w:eastAsia="Times New Roman" w:cs="Times New Roman"/>
                <w:b/>
                <w:lang w:eastAsia="en-US"/>
              </w:rPr>
              <w:t>Розмір торгівельної надбавки (націнки)</w:t>
            </w:r>
          </w:p>
        </w:tc>
        <w:tc>
          <w:tcPr>
            <w:tcW w:w="2040" w:type="dxa"/>
          </w:tcPr>
          <w:p w:rsidR="00432BFF" w:rsidRPr="00432BFF" w:rsidRDefault="00432BFF" w:rsidP="00432BFF">
            <w:pPr>
              <w:widowControl w:val="0"/>
              <w:tabs>
                <w:tab w:val="left" w:pos="720"/>
              </w:tabs>
              <w:suppressAutoHyphens/>
              <w:jc w:val="both"/>
              <w:rPr>
                <w:rFonts w:eastAsia="Times New Roman" w:cs="Times New Roman"/>
                <w:lang w:eastAsia="en-US"/>
              </w:rPr>
            </w:pPr>
          </w:p>
        </w:tc>
        <w:tc>
          <w:tcPr>
            <w:tcW w:w="2375" w:type="dxa"/>
          </w:tcPr>
          <w:p w:rsidR="00432BFF" w:rsidRPr="00432BFF" w:rsidRDefault="00432BFF" w:rsidP="00432BFF">
            <w:pPr>
              <w:widowControl w:val="0"/>
              <w:tabs>
                <w:tab w:val="left" w:pos="720"/>
              </w:tabs>
              <w:suppressAutoHyphens/>
              <w:jc w:val="both"/>
              <w:rPr>
                <w:rFonts w:eastAsia="Times New Roman" w:cs="Times New Roman"/>
                <w:lang w:eastAsia="en-US"/>
              </w:rPr>
            </w:pPr>
          </w:p>
        </w:tc>
      </w:tr>
      <w:tr w:rsidR="00432BFF" w:rsidRPr="00432BFF" w:rsidTr="00C076CC">
        <w:tc>
          <w:tcPr>
            <w:tcW w:w="576" w:type="dxa"/>
          </w:tcPr>
          <w:p w:rsidR="00432BFF" w:rsidRPr="00432BFF" w:rsidRDefault="00432BFF" w:rsidP="00432BFF">
            <w:pPr>
              <w:widowControl w:val="0"/>
              <w:tabs>
                <w:tab w:val="left" w:pos="720"/>
              </w:tabs>
              <w:suppressAutoHyphens/>
              <w:jc w:val="center"/>
              <w:rPr>
                <w:rFonts w:eastAsia="Times New Roman" w:cs="Times New Roman"/>
                <w:lang w:eastAsia="en-US"/>
              </w:rPr>
            </w:pPr>
            <w:r w:rsidRPr="00432BFF">
              <w:rPr>
                <w:rFonts w:eastAsia="Times New Roman" w:cs="Times New Roman"/>
                <w:lang w:eastAsia="en-US"/>
              </w:rPr>
              <w:t>3.</w:t>
            </w:r>
          </w:p>
        </w:tc>
        <w:tc>
          <w:tcPr>
            <w:tcW w:w="4650" w:type="dxa"/>
          </w:tcPr>
          <w:p w:rsidR="00432BFF" w:rsidRPr="00432BFF" w:rsidRDefault="00432BFF" w:rsidP="00432BFF">
            <w:pPr>
              <w:widowControl w:val="0"/>
              <w:tabs>
                <w:tab w:val="left" w:pos="720"/>
              </w:tabs>
              <w:suppressAutoHyphens/>
              <w:jc w:val="both"/>
              <w:rPr>
                <w:rFonts w:eastAsia="Times New Roman" w:cs="Times New Roman"/>
                <w:b/>
                <w:lang w:eastAsia="en-US"/>
              </w:rPr>
            </w:pPr>
            <w:r w:rsidRPr="00432BFF">
              <w:rPr>
                <w:rFonts w:eastAsia="Times New Roman" w:cs="Times New Roman"/>
                <w:b/>
                <w:lang w:eastAsia="en-US"/>
              </w:rPr>
              <w:t>Відсоткове значення розміру надбавки (націнки)  до вартості сировини, %</w:t>
            </w:r>
          </w:p>
        </w:tc>
        <w:tc>
          <w:tcPr>
            <w:tcW w:w="2040" w:type="dxa"/>
          </w:tcPr>
          <w:p w:rsidR="00432BFF" w:rsidRPr="00432BFF" w:rsidRDefault="00432BFF" w:rsidP="00432BFF">
            <w:pPr>
              <w:widowControl w:val="0"/>
              <w:tabs>
                <w:tab w:val="left" w:pos="720"/>
              </w:tabs>
              <w:suppressAutoHyphens/>
              <w:jc w:val="both"/>
              <w:rPr>
                <w:rFonts w:eastAsia="Times New Roman" w:cs="Times New Roman"/>
                <w:lang w:eastAsia="en-US"/>
              </w:rPr>
            </w:pPr>
          </w:p>
        </w:tc>
        <w:tc>
          <w:tcPr>
            <w:tcW w:w="2375" w:type="dxa"/>
          </w:tcPr>
          <w:p w:rsidR="00432BFF" w:rsidRPr="00432BFF" w:rsidRDefault="00432BFF" w:rsidP="00432BFF">
            <w:pPr>
              <w:widowControl w:val="0"/>
              <w:tabs>
                <w:tab w:val="left" w:pos="720"/>
              </w:tabs>
              <w:suppressAutoHyphens/>
              <w:jc w:val="both"/>
              <w:rPr>
                <w:rFonts w:eastAsia="Times New Roman" w:cs="Times New Roman"/>
                <w:lang w:eastAsia="en-US"/>
              </w:rPr>
            </w:pPr>
          </w:p>
        </w:tc>
      </w:tr>
    </w:tbl>
    <w:p w:rsidR="005B7A4D" w:rsidRDefault="005B7A4D" w:rsidP="00432BFF">
      <w:pPr>
        <w:suppressAutoHyphens/>
        <w:spacing w:after="120" w:line="240" w:lineRule="auto"/>
        <w:ind w:left="283"/>
        <w:jc w:val="center"/>
        <w:rPr>
          <w:rFonts w:ascii="Times New Roman CYR" w:eastAsia="Times New Roman" w:hAnsi="Times New Roman CYR" w:cs="Times New Roman CYR"/>
          <w:b/>
          <w:sz w:val="26"/>
          <w:szCs w:val="24"/>
          <w:lang w:eastAsia="zh-CN"/>
        </w:rPr>
      </w:pPr>
    </w:p>
    <w:p w:rsidR="00432BFF" w:rsidRPr="00432BFF" w:rsidRDefault="00432BFF" w:rsidP="00432BFF">
      <w:pPr>
        <w:suppressAutoHyphens/>
        <w:spacing w:after="120" w:line="240" w:lineRule="auto"/>
        <w:ind w:left="283"/>
        <w:jc w:val="center"/>
        <w:rPr>
          <w:rFonts w:ascii="Times New Roman" w:eastAsia="Times New Roman" w:hAnsi="Times New Roman" w:cs="Times New Roman"/>
          <w:b/>
          <w:i/>
          <w:sz w:val="28"/>
          <w:szCs w:val="24"/>
          <w:lang w:eastAsia="zh-CN"/>
        </w:rPr>
      </w:pPr>
      <w:r w:rsidRPr="00432BFF">
        <w:rPr>
          <w:rFonts w:ascii="Times New Roman CYR" w:eastAsia="Times New Roman" w:hAnsi="Times New Roman CYR" w:cs="Times New Roman CYR"/>
          <w:b/>
          <w:sz w:val="26"/>
          <w:szCs w:val="24"/>
          <w:lang w:eastAsia="zh-CN"/>
        </w:rPr>
        <w:t xml:space="preserve">Приблизне меню </w:t>
      </w:r>
      <w:r w:rsidR="005B7A4D">
        <w:rPr>
          <w:rFonts w:ascii="Times New Roman CYR" w:eastAsia="Times New Roman" w:hAnsi="Times New Roman CYR" w:cs="Times New Roman CYR"/>
          <w:b/>
          <w:sz w:val="26"/>
          <w:szCs w:val="24"/>
          <w:lang w:eastAsia="zh-CN"/>
        </w:rPr>
        <w:t xml:space="preserve">для </w:t>
      </w:r>
      <w:r w:rsidR="005B7A4D" w:rsidRPr="005B7A4D">
        <w:rPr>
          <w:rFonts w:ascii="Times New Roman CYR" w:eastAsia="Times New Roman" w:hAnsi="Times New Roman CYR" w:cs="Times New Roman CYR"/>
          <w:b/>
          <w:sz w:val="26"/>
          <w:szCs w:val="24"/>
          <w:lang w:eastAsia="zh-CN"/>
        </w:rPr>
        <w:t xml:space="preserve">організації гарячого </w:t>
      </w:r>
      <w:r w:rsidR="00931472">
        <w:rPr>
          <w:rFonts w:ascii="Times New Roman CYR" w:eastAsia="Times New Roman" w:hAnsi="Times New Roman CYR" w:cs="Times New Roman CYR"/>
          <w:b/>
          <w:sz w:val="26"/>
          <w:szCs w:val="24"/>
          <w:lang w:eastAsia="zh-CN"/>
        </w:rPr>
        <w:t>х</w:t>
      </w:r>
      <w:r w:rsidR="00931472" w:rsidRPr="00931472">
        <w:rPr>
          <w:rFonts w:ascii="Times New Roman CYR" w:eastAsia="Times New Roman" w:hAnsi="Times New Roman CYR" w:cs="Times New Roman CYR"/>
          <w:b/>
          <w:sz w:val="26"/>
          <w:szCs w:val="24"/>
          <w:lang w:eastAsia="zh-CN"/>
        </w:rPr>
        <w:t>арчування здобувачів освіти 1-5 класів закладів загальної середньої освіти, вихованців НБДЮ у літній період (сніданок, обід)</w:t>
      </w:r>
      <w:r w:rsidR="00507812">
        <w:rPr>
          <w:rFonts w:ascii="Times New Roman CYR" w:eastAsia="Times New Roman" w:hAnsi="Times New Roman CYR" w:cs="Times New Roman CYR"/>
          <w:b/>
          <w:sz w:val="26"/>
          <w:szCs w:val="24"/>
          <w:lang w:eastAsia="zh-CN"/>
        </w:rPr>
        <w:t xml:space="preserve"> 2024</w:t>
      </w:r>
      <w:r w:rsidR="00DF38C1">
        <w:rPr>
          <w:rFonts w:ascii="Times New Roman CYR" w:eastAsia="Times New Roman" w:hAnsi="Times New Roman CYR" w:cs="Times New Roman CYR"/>
          <w:b/>
          <w:sz w:val="26"/>
          <w:szCs w:val="24"/>
          <w:lang w:eastAsia="zh-CN"/>
        </w:rPr>
        <w:t>р.</w:t>
      </w:r>
    </w:p>
    <w:p w:rsidR="00432BFF" w:rsidRPr="00432BFF" w:rsidRDefault="005B7A4D" w:rsidP="00432BFF">
      <w:pPr>
        <w:tabs>
          <w:tab w:val="left" w:pos="0"/>
          <w:tab w:val="center" w:pos="4153"/>
          <w:tab w:val="right" w:pos="8306"/>
        </w:tabs>
        <w:jc w:val="both"/>
        <w:rPr>
          <w:rFonts w:eastAsia="Times New Roman" w:cs="Times New Roman"/>
          <w:b/>
          <w:bCs/>
          <w:u w:val="single"/>
          <w:lang w:eastAsia="en-US"/>
        </w:rPr>
      </w:pPr>
      <w:r w:rsidRPr="005B7A4D">
        <w:rPr>
          <w:rFonts w:eastAsia="Times New Roman" w:cs="Times New Roman"/>
          <w:b/>
          <w:bCs/>
          <w:u w:val="single"/>
          <w:lang w:eastAsia="en-US"/>
        </w:rPr>
        <w:lastRenderedPageBreak/>
        <w:t xml:space="preserve">Приблизне меню для організації гарячого харчування </w:t>
      </w:r>
      <w:r w:rsidR="00931472" w:rsidRPr="00931472">
        <w:rPr>
          <w:rFonts w:eastAsia="Times New Roman" w:cs="Times New Roman"/>
          <w:b/>
          <w:bCs/>
          <w:u w:val="single"/>
          <w:lang w:eastAsia="en-US"/>
        </w:rPr>
        <w:t xml:space="preserve">здобувачів освіти 1-5 класів закладів загальної середньої освіти, вихованців НБДЮ </w:t>
      </w:r>
      <w:r w:rsidR="00931472">
        <w:rPr>
          <w:rFonts w:eastAsia="Times New Roman" w:cs="Times New Roman"/>
          <w:b/>
          <w:bCs/>
          <w:u w:val="single"/>
          <w:lang w:eastAsia="en-US"/>
        </w:rPr>
        <w:t xml:space="preserve">у літній період </w:t>
      </w:r>
      <w:r w:rsidR="00507812">
        <w:rPr>
          <w:rFonts w:eastAsia="Times New Roman" w:cs="Times New Roman"/>
          <w:b/>
          <w:bCs/>
          <w:u w:val="single"/>
          <w:lang w:eastAsia="en-US"/>
        </w:rPr>
        <w:t>2024</w:t>
      </w:r>
      <w:r w:rsidR="00DF38C1" w:rsidRPr="00DF38C1">
        <w:rPr>
          <w:rFonts w:eastAsia="Times New Roman" w:cs="Times New Roman"/>
          <w:b/>
          <w:bCs/>
          <w:u w:val="single"/>
          <w:lang w:eastAsia="en-US"/>
        </w:rPr>
        <w:t xml:space="preserve">р. </w:t>
      </w:r>
      <w:r w:rsidR="00432BFF" w:rsidRPr="00432BFF">
        <w:rPr>
          <w:rFonts w:eastAsia="Times New Roman" w:cs="Times New Roman"/>
          <w:b/>
          <w:bCs/>
          <w:u w:val="single"/>
          <w:lang w:eastAsia="en-US"/>
        </w:rPr>
        <w:t>(сніданки):</w:t>
      </w:r>
    </w:p>
    <w:tbl>
      <w:tblPr>
        <w:tblW w:w="7482" w:type="dxa"/>
        <w:tblInd w:w="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813"/>
        <w:gridCol w:w="1164"/>
        <w:gridCol w:w="3121"/>
      </w:tblGrid>
      <w:tr w:rsidR="00432BFF" w:rsidRPr="00432BFF" w:rsidTr="00C076CC">
        <w:tc>
          <w:tcPr>
            <w:tcW w:w="1384" w:type="dxa"/>
            <w:tcBorders>
              <w:top w:val="single" w:sz="6" w:space="0" w:color="auto"/>
              <w:bottom w:val="single" w:sz="6" w:space="0" w:color="auto"/>
              <w:right w:val="single" w:sz="6" w:space="0" w:color="auto"/>
            </w:tcBorders>
          </w:tcPr>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 рецептури</w:t>
            </w:r>
          </w:p>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та джерело походження</w:t>
            </w:r>
          </w:p>
        </w:tc>
        <w:tc>
          <w:tcPr>
            <w:tcW w:w="1813" w:type="dxa"/>
            <w:tcBorders>
              <w:top w:val="single" w:sz="6" w:space="0" w:color="auto"/>
              <w:bottom w:val="single" w:sz="6" w:space="0" w:color="auto"/>
              <w:right w:val="single" w:sz="6" w:space="0" w:color="auto"/>
            </w:tcBorders>
          </w:tcPr>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Дні  тижня/ Найменування  страв</w:t>
            </w:r>
          </w:p>
        </w:tc>
        <w:tc>
          <w:tcPr>
            <w:tcW w:w="1164" w:type="dxa"/>
            <w:tcBorders>
              <w:top w:val="single" w:sz="6" w:space="0" w:color="auto"/>
              <w:left w:val="single" w:sz="6" w:space="0" w:color="auto"/>
              <w:bottom w:val="single" w:sz="6" w:space="0" w:color="auto"/>
              <w:right w:val="single" w:sz="6" w:space="0" w:color="auto"/>
            </w:tcBorders>
          </w:tcPr>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Вихід</w:t>
            </w:r>
          </w:p>
        </w:tc>
        <w:tc>
          <w:tcPr>
            <w:tcW w:w="3121" w:type="dxa"/>
            <w:tcBorders>
              <w:top w:val="single" w:sz="6" w:space="0" w:color="auto"/>
              <w:left w:val="single" w:sz="4" w:space="0" w:color="auto"/>
              <w:bottom w:val="single" w:sz="6" w:space="0" w:color="auto"/>
              <w:right w:val="single" w:sz="6" w:space="0" w:color="auto"/>
            </w:tcBorders>
          </w:tcPr>
          <w:p w:rsidR="00432BFF" w:rsidRPr="00432BFF" w:rsidRDefault="00432BFF" w:rsidP="00432BFF">
            <w:pPr>
              <w:rPr>
                <w:rFonts w:eastAsia="Times New Roman" w:cs="Times New Roman"/>
                <w:b/>
                <w:bCs/>
                <w:lang w:eastAsia="en-US"/>
              </w:rPr>
            </w:pPr>
            <w:proofErr w:type="spellStart"/>
            <w:r w:rsidRPr="00432BFF">
              <w:rPr>
                <w:rFonts w:eastAsia="Times New Roman" w:cs="Times New Roman"/>
                <w:b/>
                <w:bCs/>
                <w:lang w:eastAsia="en-US"/>
              </w:rPr>
              <w:t>Енерг.цінність</w:t>
            </w:r>
            <w:proofErr w:type="spellEnd"/>
            <w:r w:rsidRPr="00432BFF">
              <w:rPr>
                <w:rFonts w:eastAsia="Times New Roman" w:cs="Times New Roman"/>
                <w:b/>
                <w:bCs/>
                <w:lang w:eastAsia="en-US"/>
              </w:rPr>
              <w:t xml:space="preserve"> в ккал/</w:t>
            </w:r>
          </w:p>
          <w:p w:rsidR="00432BFF" w:rsidRPr="00432BFF" w:rsidRDefault="00432BFF" w:rsidP="00432BFF">
            <w:pPr>
              <w:rPr>
                <w:rFonts w:eastAsia="Times New Roman" w:cs="Times New Roman"/>
                <w:b/>
                <w:bCs/>
                <w:lang w:eastAsia="en-US"/>
              </w:rPr>
            </w:pPr>
            <w:r w:rsidRPr="00432BFF">
              <w:rPr>
                <w:rFonts w:eastAsia="Times New Roman" w:cs="Times New Roman"/>
                <w:b/>
                <w:bCs/>
                <w:lang w:eastAsia="en-US"/>
              </w:rPr>
              <w:t>Білки, жири, вуглеводи</w:t>
            </w:r>
          </w:p>
        </w:tc>
      </w:tr>
      <w:tr w:rsidR="00432BFF" w:rsidRPr="00432BFF" w:rsidTr="00C076CC">
        <w:tblPrEx>
          <w:tblBorders>
            <w:insideH w:val="single" w:sz="4" w:space="0" w:color="auto"/>
            <w:insideV w:val="single" w:sz="4" w:space="0" w:color="auto"/>
          </w:tblBorders>
        </w:tblPrEx>
        <w:trPr>
          <w:trHeight w:val="150"/>
        </w:trPr>
        <w:tc>
          <w:tcPr>
            <w:tcW w:w="1384" w:type="dxa"/>
          </w:tcPr>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1</w:t>
            </w:r>
          </w:p>
        </w:tc>
        <w:tc>
          <w:tcPr>
            <w:tcW w:w="1813" w:type="dxa"/>
          </w:tcPr>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2</w:t>
            </w:r>
          </w:p>
        </w:tc>
        <w:tc>
          <w:tcPr>
            <w:tcW w:w="1164" w:type="dxa"/>
          </w:tcPr>
          <w:p w:rsidR="00432BFF" w:rsidRPr="00432BFF" w:rsidRDefault="00432BFF" w:rsidP="00432BFF">
            <w:pPr>
              <w:tabs>
                <w:tab w:val="center" w:pos="4153"/>
                <w:tab w:val="right" w:pos="8306"/>
              </w:tabs>
              <w:jc w:val="center"/>
              <w:rPr>
                <w:rFonts w:eastAsia="Times New Roman" w:cs="Times New Roman"/>
                <w:lang w:eastAsia="en-US"/>
              </w:rPr>
            </w:pPr>
            <w:r w:rsidRPr="00432BFF">
              <w:rPr>
                <w:rFonts w:eastAsia="Times New Roman" w:cs="Times New Roman"/>
                <w:lang w:eastAsia="en-US"/>
              </w:rPr>
              <w:t>3</w:t>
            </w:r>
          </w:p>
        </w:tc>
        <w:tc>
          <w:tcPr>
            <w:tcW w:w="3121" w:type="dxa"/>
          </w:tcPr>
          <w:p w:rsidR="00432BFF" w:rsidRPr="00432BFF" w:rsidRDefault="00432BFF" w:rsidP="00432BFF">
            <w:pPr>
              <w:tabs>
                <w:tab w:val="center" w:pos="4153"/>
                <w:tab w:val="right" w:pos="8306"/>
              </w:tabs>
              <w:ind w:left="108" w:firstLine="720"/>
              <w:rPr>
                <w:rFonts w:eastAsia="Times New Roman" w:cs="Times New Roman"/>
                <w:lang w:eastAsia="en-US"/>
              </w:rPr>
            </w:pPr>
            <w:r w:rsidRPr="00432BFF">
              <w:rPr>
                <w:rFonts w:eastAsia="Times New Roman" w:cs="Times New Roman"/>
                <w:lang w:eastAsia="en-US"/>
              </w:rPr>
              <w:t>4</w:t>
            </w:r>
          </w:p>
        </w:tc>
      </w:tr>
      <w:tr w:rsidR="00432BFF" w:rsidRPr="00432BFF" w:rsidTr="00C076CC">
        <w:tblPrEx>
          <w:tblBorders>
            <w:insideH w:val="single" w:sz="4" w:space="0" w:color="auto"/>
            <w:insideV w:val="single" w:sz="4" w:space="0" w:color="auto"/>
          </w:tblBorders>
        </w:tblPrEx>
        <w:trPr>
          <w:trHeight w:val="419"/>
        </w:trPr>
        <w:tc>
          <w:tcPr>
            <w:tcW w:w="1384" w:type="dxa"/>
          </w:tcPr>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p>
        </w:tc>
        <w:tc>
          <w:tcPr>
            <w:tcW w:w="1813" w:type="dxa"/>
          </w:tcPr>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Перший тиждень</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Понеділок........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Вівторок...........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Середа..............</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Четвер..............</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П’ятниця.........</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_________________________</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Другий тиждень</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Понеділок........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Вівторок...........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Середа..............</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Четвер..............</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П’ятниця.........</w:t>
            </w:r>
          </w:p>
        </w:tc>
        <w:tc>
          <w:tcPr>
            <w:tcW w:w="1164" w:type="dxa"/>
          </w:tcPr>
          <w:p w:rsidR="00432BFF" w:rsidRPr="00432BFF" w:rsidRDefault="00432BFF" w:rsidP="00432BFF">
            <w:pPr>
              <w:tabs>
                <w:tab w:val="center" w:pos="4153"/>
                <w:tab w:val="right" w:pos="8306"/>
              </w:tabs>
              <w:jc w:val="center"/>
              <w:rPr>
                <w:rFonts w:eastAsia="Times New Roman" w:cs="Times New Roman"/>
                <w:lang w:eastAsia="en-US"/>
              </w:rPr>
            </w:pPr>
          </w:p>
        </w:tc>
        <w:tc>
          <w:tcPr>
            <w:tcW w:w="3121" w:type="dxa"/>
          </w:tcPr>
          <w:p w:rsidR="00432BFF" w:rsidRPr="00432BFF" w:rsidRDefault="00432BFF" w:rsidP="00432BFF">
            <w:pPr>
              <w:tabs>
                <w:tab w:val="center" w:pos="4153"/>
                <w:tab w:val="right" w:pos="8306"/>
              </w:tabs>
              <w:ind w:left="108" w:firstLine="720"/>
              <w:jc w:val="center"/>
              <w:rPr>
                <w:rFonts w:eastAsia="Times New Roman" w:cs="Times New Roman"/>
                <w:lang w:eastAsia="en-US"/>
              </w:rPr>
            </w:pPr>
          </w:p>
        </w:tc>
      </w:tr>
    </w:tbl>
    <w:p w:rsidR="00432BFF" w:rsidRPr="00432BFF" w:rsidRDefault="00432BFF" w:rsidP="00432BFF">
      <w:pPr>
        <w:jc w:val="both"/>
        <w:rPr>
          <w:rFonts w:eastAsia="Times New Roman" w:cs="Times New Roman"/>
          <w:b/>
          <w:bCs/>
          <w:lang w:eastAsia="en-US"/>
        </w:rPr>
      </w:pPr>
    </w:p>
    <w:p w:rsidR="00432BFF" w:rsidRPr="00432BFF" w:rsidRDefault="00432BFF" w:rsidP="00432BFF">
      <w:pPr>
        <w:jc w:val="both"/>
        <w:rPr>
          <w:rFonts w:eastAsia="Times New Roman" w:cs="Times New Roman"/>
          <w:b/>
          <w:bCs/>
          <w:u w:val="single"/>
          <w:lang w:eastAsia="en-US"/>
        </w:rPr>
      </w:pPr>
      <w:r w:rsidRPr="00432BFF">
        <w:rPr>
          <w:rFonts w:eastAsia="Times New Roman" w:cs="Times New Roman"/>
          <w:b/>
          <w:bCs/>
          <w:lang w:eastAsia="en-US"/>
        </w:rPr>
        <w:t xml:space="preserve">2. </w:t>
      </w:r>
      <w:r w:rsidR="005B7A4D" w:rsidRPr="005B7A4D">
        <w:rPr>
          <w:rFonts w:eastAsia="Times New Roman" w:cs="Times New Roman"/>
          <w:b/>
          <w:bCs/>
          <w:u w:val="single"/>
          <w:lang w:eastAsia="en-US"/>
        </w:rPr>
        <w:t xml:space="preserve">Приблизне меню для організації гарячого </w:t>
      </w:r>
      <w:r w:rsidR="00931472" w:rsidRPr="00931472">
        <w:rPr>
          <w:rFonts w:eastAsia="Times New Roman" w:cs="Times New Roman"/>
          <w:b/>
          <w:bCs/>
          <w:u w:val="single"/>
          <w:lang w:eastAsia="en-US"/>
        </w:rPr>
        <w:t xml:space="preserve">здобувачів освіти 1-5 класів закладів загальної середньої освіти, вихованців НБДЮ </w:t>
      </w:r>
      <w:r w:rsidR="00931472">
        <w:rPr>
          <w:rFonts w:eastAsia="Times New Roman" w:cs="Times New Roman"/>
          <w:b/>
          <w:bCs/>
          <w:u w:val="single"/>
          <w:lang w:eastAsia="en-US"/>
        </w:rPr>
        <w:t xml:space="preserve">у літній період </w:t>
      </w:r>
      <w:r w:rsidR="00507812">
        <w:rPr>
          <w:rFonts w:eastAsia="Times New Roman" w:cs="Times New Roman"/>
          <w:b/>
          <w:bCs/>
          <w:u w:val="single"/>
          <w:lang w:eastAsia="en-US"/>
        </w:rPr>
        <w:t>2024</w:t>
      </w:r>
      <w:r w:rsidR="00DF38C1" w:rsidRPr="00DF38C1">
        <w:rPr>
          <w:rFonts w:eastAsia="Times New Roman" w:cs="Times New Roman"/>
          <w:b/>
          <w:bCs/>
          <w:u w:val="single"/>
          <w:lang w:eastAsia="en-US"/>
        </w:rPr>
        <w:t>р.</w:t>
      </w:r>
      <w:r w:rsidRPr="00432BFF">
        <w:rPr>
          <w:rFonts w:eastAsia="Times New Roman" w:cs="Times New Roman"/>
          <w:b/>
          <w:bCs/>
          <w:u w:val="single"/>
          <w:lang w:eastAsia="en-US"/>
        </w:rPr>
        <w:t xml:space="preserve"> (</w:t>
      </w:r>
      <w:r w:rsidR="005B7A4D">
        <w:rPr>
          <w:rFonts w:eastAsia="Times New Roman" w:cs="Times New Roman"/>
          <w:b/>
          <w:bCs/>
          <w:u w:val="single"/>
          <w:lang w:eastAsia="en-US"/>
        </w:rPr>
        <w:t>обіди</w:t>
      </w:r>
      <w:r w:rsidRPr="00432BFF">
        <w:rPr>
          <w:rFonts w:eastAsia="Times New Roman" w:cs="Times New Roman"/>
          <w:b/>
          <w:bCs/>
          <w:u w:val="single"/>
          <w:lang w:eastAsia="en-US"/>
        </w:rPr>
        <w:t>):</w:t>
      </w:r>
    </w:p>
    <w:tbl>
      <w:tblPr>
        <w:tblpPr w:leftFromText="180" w:rightFromText="180" w:vertAnchor="text" w:horzAnchor="page" w:tblpX="214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34"/>
        <w:gridCol w:w="3118"/>
      </w:tblGrid>
      <w:tr w:rsidR="00432BFF" w:rsidRPr="00432BFF" w:rsidTr="00C076CC">
        <w:trPr>
          <w:trHeight w:val="560"/>
        </w:trPr>
        <w:tc>
          <w:tcPr>
            <w:tcW w:w="1526" w:type="dxa"/>
          </w:tcPr>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 рецептури</w:t>
            </w:r>
          </w:p>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та джерело походження</w:t>
            </w:r>
          </w:p>
        </w:tc>
        <w:tc>
          <w:tcPr>
            <w:tcW w:w="1843" w:type="dxa"/>
          </w:tcPr>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Дні  тижня/ Найменування  страв</w:t>
            </w:r>
          </w:p>
        </w:tc>
        <w:tc>
          <w:tcPr>
            <w:tcW w:w="1134" w:type="dxa"/>
          </w:tcPr>
          <w:p w:rsidR="00432BFF" w:rsidRPr="00432BFF" w:rsidRDefault="00432BFF" w:rsidP="00432BFF">
            <w:pPr>
              <w:suppressAutoHyphens/>
              <w:spacing w:after="0" w:line="240" w:lineRule="auto"/>
              <w:jc w:val="center"/>
              <w:rPr>
                <w:rFonts w:ascii="Times New Roman" w:eastAsia="Times New Roman" w:hAnsi="Times New Roman" w:cs="Times New Roman"/>
                <w:lang w:eastAsia="ar-SA"/>
              </w:rPr>
            </w:pPr>
            <w:r w:rsidRPr="00432BFF">
              <w:rPr>
                <w:rFonts w:ascii="Times New Roman" w:eastAsia="Times New Roman" w:hAnsi="Times New Roman" w:cs="Times New Roman"/>
                <w:lang w:eastAsia="ar-SA"/>
              </w:rPr>
              <w:t>Вихід</w:t>
            </w:r>
          </w:p>
        </w:tc>
        <w:tc>
          <w:tcPr>
            <w:tcW w:w="3118" w:type="dxa"/>
          </w:tcPr>
          <w:p w:rsidR="00432BFF" w:rsidRPr="00432BFF" w:rsidRDefault="00432BFF" w:rsidP="00432BFF">
            <w:pPr>
              <w:rPr>
                <w:rFonts w:eastAsia="Times New Roman" w:cs="Times New Roman"/>
                <w:b/>
                <w:bCs/>
                <w:lang w:eastAsia="en-US"/>
              </w:rPr>
            </w:pPr>
            <w:proofErr w:type="spellStart"/>
            <w:r w:rsidRPr="00432BFF">
              <w:rPr>
                <w:rFonts w:eastAsia="Times New Roman" w:cs="Times New Roman"/>
                <w:b/>
                <w:bCs/>
                <w:lang w:eastAsia="en-US"/>
              </w:rPr>
              <w:t>Енерг</w:t>
            </w:r>
            <w:proofErr w:type="spellEnd"/>
            <w:r w:rsidRPr="00432BFF">
              <w:rPr>
                <w:rFonts w:eastAsia="Times New Roman" w:cs="Times New Roman"/>
                <w:b/>
                <w:bCs/>
                <w:lang w:eastAsia="en-US"/>
              </w:rPr>
              <w:t>.</w:t>
            </w:r>
            <w:r w:rsidR="00507812" w:rsidRPr="00931472">
              <w:rPr>
                <w:rFonts w:eastAsia="Times New Roman" w:cs="Times New Roman"/>
                <w:b/>
                <w:bCs/>
                <w:lang w:val="ru-RU" w:eastAsia="en-US"/>
              </w:rPr>
              <w:t xml:space="preserve"> </w:t>
            </w:r>
            <w:r w:rsidRPr="00432BFF">
              <w:rPr>
                <w:rFonts w:eastAsia="Times New Roman" w:cs="Times New Roman"/>
                <w:b/>
                <w:bCs/>
                <w:lang w:eastAsia="en-US"/>
              </w:rPr>
              <w:t>цінність в ккал/</w:t>
            </w:r>
          </w:p>
          <w:p w:rsidR="00432BFF" w:rsidRPr="00432BFF" w:rsidRDefault="00432BFF" w:rsidP="00432BFF">
            <w:pPr>
              <w:rPr>
                <w:rFonts w:eastAsia="Times New Roman" w:cs="Times New Roman"/>
                <w:b/>
                <w:bCs/>
                <w:lang w:eastAsia="en-US"/>
              </w:rPr>
            </w:pPr>
            <w:r w:rsidRPr="00432BFF">
              <w:rPr>
                <w:rFonts w:eastAsia="Times New Roman" w:cs="Times New Roman"/>
                <w:b/>
                <w:bCs/>
                <w:lang w:eastAsia="en-US"/>
              </w:rPr>
              <w:t>Білки, жири, вуглеводи</w:t>
            </w:r>
          </w:p>
        </w:tc>
      </w:tr>
      <w:tr w:rsidR="00432BFF" w:rsidRPr="00432BFF" w:rsidTr="00C076CC">
        <w:trPr>
          <w:trHeight w:val="274"/>
        </w:trPr>
        <w:tc>
          <w:tcPr>
            <w:tcW w:w="1526" w:type="dxa"/>
          </w:tcPr>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p>
        </w:tc>
        <w:tc>
          <w:tcPr>
            <w:tcW w:w="1843" w:type="dxa"/>
          </w:tcPr>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Перший тиждень</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Понеділок........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Вівторок...........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Середа..............</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Четвер..............</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П’ятниця.........</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_________________________</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Другий тиждень</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Понеділок........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Вівторок...........</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Середа..............</w:t>
            </w:r>
          </w:p>
          <w:p w:rsidR="00432BFF" w:rsidRPr="00432BFF" w:rsidRDefault="00432BFF" w:rsidP="00432BFF">
            <w:pPr>
              <w:suppressAutoHyphens/>
              <w:spacing w:after="0" w:line="240" w:lineRule="auto"/>
              <w:jc w:val="center"/>
              <w:rPr>
                <w:rFonts w:ascii="Times New Roman" w:eastAsia="Times New Roman" w:hAnsi="Times New Roman" w:cs="Times New Roman"/>
                <w:sz w:val="24"/>
                <w:szCs w:val="24"/>
                <w:lang w:eastAsia="ar-SA"/>
              </w:rPr>
            </w:pPr>
            <w:r w:rsidRPr="00432BFF">
              <w:rPr>
                <w:rFonts w:ascii="Times New Roman" w:eastAsia="Times New Roman" w:hAnsi="Times New Roman" w:cs="Times New Roman"/>
                <w:sz w:val="24"/>
                <w:szCs w:val="24"/>
                <w:lang w:eastAsia="ar-SA"/>
              </w:rPr>
              <w:t>Четвер..............</w:t>
            </w:r>
          </w:p>
          <w:p w:rsidR="00432BFF" w:rsidRPr="00432BFF" w:rsidRDefault="00432BFF" w:rsidP="00432BFF">
            <w:pPr>
              <w:rPr>
                <w:rFonts w:eastAsia="Times New Roman" w:cs="Times New Roman"/>
                <w:lang w:eastAsia="en-US"/>
              </w:rPr>
            </w:pPr>
            <w:r w:rsidRPr="00432BFF">
              <w:rPr>
                <w:rFonts w:eastAsia="Times New Roman" w:cs="Times New Roman"/>
                <w:sz w:val="24"/>
                <w:szCs w:val="24"/>
                <w:lang w:eastAsia="en-US"/>
              </w:rPr>
              <w:t>П’ятниця.........</w:t>
            </w:r>
          </w:p>
        </w:tc>
        <w:tc>
          <w:tcPr>
            <w:tcW w:w="1134" w:type="dxa"/>
          </w:tcPr>
          <w:p w:rsidR="00432BFF" w:rsidRPr="00432BFF" w:rsidRDefault="00432BFF" w:rsidP="00432BFF">
            <w:pPr>
              <w:rPr>
                <w:rFonts w:eastAsia="Times New Roman" w:cs="Times New Roman"/>
                <w:lang w:eastAsia="en-US"/>
              </w:rPr>
            </w:pPr>
          </w:p>
          <w:p w:rsidR="00432BFF" w:rsidRPr="00432BFF" w:rsidRDefault="00432BFF" w:rsidP="00432BFF">
            <w:pPr>
              <w:rPr>
                <w:rFonts w:eastAsia="Times New Roman" w:cs="Times New Roman"/>
                <w:lang w:eastAsia="en-US"/>
              </w:rPr>
            </w:pPr>
          </w:p>
          <w:p w:rsidR="00432BFF" w:rsidRPr="00432BFF" w:rsidRDefault="00432BFF" w:rsidP="00432BFF">
            <w:pPr>
              <w:jc w:val="both"/>
              <w:rPr>
                <w:rFonts w:eastAsia="Times New Roman" w:cs="Times New Roman"/>
                <w:lang w:eastAsia="en-US"/>
              </w:rPr>
            </w:pPr>
          </w:p>
        </w:tc>
        <w:tc>
          <w:tcPr>
            <w:tcW w:w="3118" w:type="dxa"/>
          </w:tcPr>
          <w:p w:rsidR="00432BFF" w:rsidRPr="00432BFF" w:rsidRDefault="00432BFF" w:rsidP="00432BFF">
            <w:pPr>
              <w:rPr>
                <w:rFonts w:eastAsia="Times New Roman" w:cs="Times New Roman"/>
                <w:lang w:eastAsia="en-US"/>
              </w:rPr>
            </w:pPr>
          </w:p>
          <w:p w:rsidR="00432BFF" w:rsidRPr="00432BFF" w:rsidRDefault="00432BFF" w:rsidP="00432BFF">
            <w:pPr>
              <w:rPr>
                <w:rFonts w:eastAsia="Times New Roman" w:cs="Times New Roman"/>
                <w:lang w:eastAsia="en-US"/>
              </w:rPr>
            </w:pPr>
          </w:p>
          <w:p w:rsidR="00432BFF" w:rsidRPr="00432BFF" w:rsidRDefault="00432BFF" w:rsidP="00432BFF">
            <w:pPr>
              <w:jc w:val="both"/>
              <w:rPr>
                <w:rFonts w:eastAsia="Times New Roman" w:cs="Times New Roman"/>
                <w:lang w:eastAsia="en-US"/>
              </w:rPr>
            </w:pPr>
          </w:p>
        </w:tc>
      </w:tr>
    </w:tbl>
    <w:p w:rsidR="00432BFF" w:rsidRPr="00432BFF" w:rsidRDefault="00432BFF" w:rsidP="00432BFF">
      <w:pPr>
        <w:jc w:val="both"/>
        <w:rPr>
          <w:rFonts w:eastAsia="Times New Roman" w:cs="Times New Roman"/>
          <w:b/>
          <w:bCs/>
          <w:lang w:eastAsia="en-US"/>
        </w:rPr>
      </w:pPr>
    </w:p>
    <w:p w:rsidR="00432BFF" w:rsidRPr="00432BFF" w:rsidRDefault="00432BFF" w:rsidP="00432BFF">
      <w:pPr>
        <w:jc w:val="both"/>
        <w:rPr>
          <w:rFonts w:eastAsia="Times New Roman" w:cs="Times New Roman"/>
          <w:b/>
          <w:bCs/>
          <w:lang w:eastAsia="en-US"/>
        </w:rPr>
      </w:pPr>
    </w:p>
    <w:p w:rsidR="00432BFF" w:rsidRPr="00432BFF" w:rsidRDefault="00432BFF" w:rsidP="005B7A4D">
      <w:pPr>
        <w:jc w:val="both"/>
        <w:rPr>
          <w:rFonts w:eastAsia="Times New Roman" w:cs="Times New Roman"/>
          <w:b/>
          <w:bCs/>
          <w:u w:val="single"/>
          <w:lang w:eastAsia="en-US"/>
        </w:rPr>
      </w:pPr>
      <w:r w:rsidRPr="00432BFF">
        <w:rPr>
          <w:rFonts w:eastAsia="Times New Roman" w:cs="Times New Roman"/>
          <w:b/>
          <w:bCs/>
          <w:lang w:eastAsia="en-US"/>
        </w:rPr>
        <w:t xml:space="preserve"> </w:t>
      </w:r>
    </w:p>
    <w:p w:rsidR="00432BFF" w:rsidRPr="00432BFF" w:rsidRDefault="00432BFF" w:rsidP="00432BFF">
      <w:pPr>
        <w:spacing w:after="0" w:line="240" w:lineRule="auto"/>
        <w:ind w:left="360"/>
        <w:rPr>
          <w:rFonts w:eastAsia="Times New Roman" w:cs="Times New Roman"/>
          <w:b/>
          <w:bCs/>
          <w:u w:val="single"/>
          <w:lang w:eastAsia="en-US"/>
        </w:rPr>
      </w:pPr>
    </w:p>
    <w:p w:rsidR="00432BFF" w:rsidRPr="00432BFF" w:rsidRDefault="00432BFF" w:rsidP="00432BFF">
      <w:pPr>
        <w:spacing w:after="0" w:line="240" w:lineRule="auto"/>
        <w:ind w:left="360"/>
        <w:rPr>
          <w:rFonts w:eastAsia="Times New Roman" w:cs="Times New Roman"/>
          <w:b/>
          <w:bCs/>
          <w:u w:val="single"/>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p>
    <w:p w:rsidR="00432BFF" w:rsidRPr="00432BFF" w:rsidRDefault="00432BFF" w:rsidP="00432BFF">
      <w:pPr>
        <w:contextualSpacing/>
        <w:rPr>
          <w:rFonts w:eastAsia="Times New Roman" w:cs="Times New Roman"/>
          <w:b/>
          <w:sz w:val="20"/>
          <w:szCs w:val="20"/>
          <w:lang w:eastAsia="en-US"/>
        </w:rPr>
      </w:pPr>
      <w:r w:rsidRPr="00432BFF">
        <w:rPr>
          <w:rFonts w:eastAsia="Times New Roman" w:cs="Times New Roman"/>
          <w:b/>
          <w:sz w:val="20"/>
          <w:szCs w:val="20"/>
          <w:lang w:eastAsia="en-US"/>
        </w:rPr>
        <w:t>ПРИМІТКА:</w:t>
      </w:r>
    </w:p>
    <w:p w:rsidR="00432BFF" w:rsidRPr="00432BFF" w:rsidRDefault="00432BFF" w:rsidP="00432BFF">
      <w:pPr>
        <w:contextualSpacing/>
        <w:rPr>
          <w:rFonts w:eastAsia="Times New Roman" w:cs="Times New Roman"/>
          <w:sz w:val="20"/>
          <w:szCs w:val="20"/>
          <w:lang w:eastAsia="en-US"/>
        </w:rPr>
      </w:pPr>
    </w:p>
    <w:p w:rsidR="00432BFF" w:rsidRPr="00432BFF" w:rsidRDefault="00432BFF" w:rsidP="00432BFF">
      <w:pPr>
        <w:ind w:firstLine="900"/>
        <w:contextualSpacing/>
        <w:jc w:val="both"/>
        <w:rPr>
          <w:rFonts w:eastAsia="Times New Roman" w:cs="Times New Roman"/>
          <w:i/>
          <w:sz w:val="20"/>
          <w:szCs w:val="20"/>
          <w:lang w:eastAsia="en-US"/>
        </w:rPr>
      </w:pPr>
      <w:r w:rsidRPr="00432BFF">
        <w:rPr>
          <w:rFonts w:eastAsia="Times New Roman" w:cs="Times New Roman"/>
          <w:i/>
          <w:sz w:val="20"/>
          <w:szCs w:val="20"/>
          <w:lang w:eastAsia="en-US"/>
        </w:rPr>
        <w:t>За відсутності будь якого виду  продукту, для збереження харчової та біологічної цінності, належить провести заміну, керуючись переліком блюд, включених в збірник рецептур блюд для харчування школярів.</w:t>
      </w:r>
    </w:p>
    <w:p w:rsidR="00432BFF" w:rsidRPr="00432BFF" w:rsidRDefault="00432BFF" w:rsidP="00432BFF">
      <w:pPr>
        <w:ind w:firstLine="900"/>
        <w:contextualSpacing/>
        <w:jc w:val="both"/>
        <w:rPr>
          <w:rFonts w:eastAsia="Times New Roman" w:cs="Times New Roman"/>
          <w:i/>
          <w:sz w:val="20"/>
          <w:szCs w:val="20"/>
          <w:lang w:eastAsia="en-US"/>
        </w:rPr>
      </w:pPr>
      <w:r w:rsidRPr="00432BFF">
        <w:rPr>
          <w:rFonts w:eastAsia="Times New Roman" w:cs="Times New Roman"/>
          <w:i/>
          <w:sz w:val="20"/>
          <w:szCs w:val="20"/>
          <w:lang w:eastAsia="en-US"/>
        </w:rPr>
        <w:t>Дозволяється заміна гарнірів з круп, напоїв, борошняних  виробів, м’ясних,  фруктів рівноцінними продуктами за біологічною цінністю та вартістю блюд.</w:t>
      </w:r>
    </w:p>
    <w:p w:rsidR="00432BFF" w:rsidRPr="00432BFF" w:rsidRDefault="00432BFF" w:rsidP="00432BFF">
      <w:pPr>
        <w:spacing w:after="120"/>
        <w:ind w:firstLine="540"/>
        <w:jc w:val="both"/>
        <w:rPr>
          <w:rFonts w:ascii="Times New Roman" w:eastAsia="Times New Roman" w:hAnsi="Times New Roman" w:cs="Times New Roman"/>
          <w:sz w:val="24"/>
          <w:szCs w:val="24"/>
          <w:lang w:eastAsia="en-US"/>
        </w:rPr>
      </w:pPr>
    </w:p>
    <w:p w:rsidR="00EF2EF9" w:rsidRDefault="00EF2EF9">
      <w:pPr>
        <w:spacing w:after="0" w:line="240" w:lineRule="auto"/>
        <w:rPr>
          <w:rFonts w:ascii="Times New Roman" w:eastAsia="Times New Roman" w:hAnsi="Times New Roman" w:cs="Times New Roman"/>
          <w:i/>
          <w:sz w:val="24"/>
          <w:szCs w:val="24"/>
        </w:rPr>
      </w:pPr>
    </w:p>
    <w:sectPr w:rsidR="00EF2EF9" w:rsidSect="00507812">
      <w:pgSz w:w="11906" w:h="16838"/>
      <w:pgMar w:top="426" w:right="566" w:bottom="426"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F2034"/>
    <w:multiLevelType w:val="multilevel"/>
    <w:tmpl w:val="6B74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F9"/>
    <w:rsid w:val="000F33F4"/>
    <w:rsid w:val="00113685"/>
    <w:rsid w:val="00123C3F"/>
    <w:rsid w:val="00127EB6"/>
    <w:rsid w:val="001705C5"/>
    <w:rsid w:val="001727D4"/>
    <w:rsid w:val="001B5277"/>
    <w:rsid w:val="00230119"/>
    <w:rsid w:val="00284634"/>
    <w:rsid w:val="00305D77"/>
    <w:rsid w:val="00432BFF"/>
    <w:rsid w:val="00507812"/>
    <w:rsid w:val="005B7A4D"/>
    <w:rsid w:val="00677863"/>
    <w:rsid w:val="006D462A"/>
    <w:rsid w:val="0073167A"/>
    <w:rsid w:val="00734A98"/>
    <w:rsid w:val="00750139"/>
    <w:rsid w:val="00762614"/>
    <w:rsid w:val="007B4F8D"/>
    <w:rsid w:val="00931472"/>
    <w:rsid w:val="00936C63"/>
    <w:rsid w:val="009927B7"/>
    <w:rsid w:val="009D7B42"/>
    <w:rsid w:val="009E3F5E"/>
    <w:rsid w:val="009F2B3A"/>
    <w:rsid w:val="00AF023B"/>
    <w:rsid w:val="00B11F88"/>
    <w:rsid w:val="00BD5EB7"/>
    <w:rsid w:val="00C00067"/>
    <w:rsid w:val="00C076CC"/>
    <w:rsid w:val="00C21ED2"/>
    <w:rsid w:val="00CA08B3"/>
    <w:rsid w:val="00D830B4"/>
    <w:rsid w:val="00DD67B3"/>
    <w:rsid w:val="00DF38C1"/>
    <w:rsid w:val="00E12869"/>
    <w:rsid w:val="00EB2F90"/>
    <w:rsid w:val="00EF2EF9"/>
    <w:rsid w:val="00F4568D"/>
    <w:rsid w:val="00F57F73"/>
    <w:rsid w:val="00F6368A"/>
    <w:rsid w:val="00FE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BFFD"/>
  <w15:docId w15:val="{4074466A-0235-4476-B60B-60B1B054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2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1671&amp;anchor=dfasx8ke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z.mcfr.ua/npd-doc?npmid=94&amp;npid=53916&amp;anchor=dfasdnvg1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54491" TargetMode="External"/><Relationship Id="rId11" Type="http://schemas.openxmlformats.org/officeDocument/2006/relationships/hyperlink" Target="https://radnuk.com.ua/pravova-baza/nakaz-minekonomiky-pro-zatverdzhennia-metodychnykh-rekomendatsij-shchodo-metodolohii-osoblyvostej-zdijsnennia-zakupivel-u-sferi-orhanizatsii-kharchuvannia-v-zakladakh-osvity/" TargetMode="External"/><Relationship Id="rId5" Type="http://schemas.openxmlformats.org/officeDocument/2006/relationships/webSettings" Target="webSettings.xml"/><Relationship Id="rId10" Type="http://schemas.openxmlformats.org/officeDocument/2006/relationships/hyperlink" Target="https://edz.mcfr.ua/npd-doc?npmid=94&amp;npid=41351&amp;anchor=dfasrkm8yx" TargetMode="External"/><Relationship Id="rId4" Type="http://schemas.openxmlformats.org/officeDocument/2006/relationships/settings" Target="settings.xml"/><Relationship Id="rId9" Type="http://schemas.openxmlformats.org/officeDocument/2006/relationships/hyperlink" Target="https://edz.mcfr.ua/npd-doc?npmid=94&amp;npid=37315&amp;anchor=bssPhr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user002</cp:lastModifiedBy>
  <cp:revision>8</cp:revision>
  <cp:lastPrinted>2022-12-05T05:24:00Z</cp:lastPrinted>
  <dcterms:created xsi:type="dcterms:W3CDTF">2024-04-23T12:16:00Z</dcterms:created>
  <dcterms:modified xsi:type="dcterms:W3CDTF">2024-05-06T12:01:00Z</dcterms:modified>
</cp:coreProperties>
</file>