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CE" w:rsidRPr="000C48D1" w:rsidRDefault="00F37FCE" w:rsidP="008F5ED5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Додаток </w:t>
      </w:r>
      <w:r w:rsidR="000C48D1" w:rsidRPr="000C4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F37FCE" w:rsidRPr="000C48D1" w:rsidRDefault="000C48D1" w:rsidP="008F5ED5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т</w:t>
      </w:r>
      <w:r w:rsidR="00F37FCE" w:rsidRPr="000C4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ендерної документації</w:t>
      </w:r>
    </w:p>
    <w:p w:rsidR="00952CCD" w:rsidRPr="00537952" w:rsidRDefault="00952CCD" w:rsidP="008F5ED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FCE" w:rsidRPr="006C2163" w:rsidRDefault="00F37FCE" w:rsidP="008F5ED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ТЕХНІЧНА СПЕЦИФІКАЦІЯ</w:t>
      </w:r>
    </w:p>
    <w:p w:rsidR="008F5ED5" w:rsidRPr="006C2163" w:rsidRDefault="008F5ED5" w:rsidP="00F37F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ED5" w:rsidRPr="006C2163" w:rsidRDefault="008F5ED5" w:rsidP="008F5ED5">
      <w:pPr>
        <w:widowControl w:val="0"/>
        <w:suppressAutoHyphens/>
        <w:autoSpaceDE w:val="0"/>
        <w:ind w:right="-23"/>
        <w:jc w:val="center"/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6C2163"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ІНФОРМАЦІЯ ПРО НЕОБХІДНІ ТЕХНІЧНІ, ЯКІСНІ </w:t>
      </w:r>
    </w:p>
    <w:p w:rsidR="008F5ED5" w:rsidRPr="006C2163" w:rsidRDefault="008F5ED5" w:rsidP="008F5ED5">
      <w:pPr>
        <w:widowControl w:val="0"/>
        <w:suppressAutoHyphens/>
        <w:autoSpaceDE w:val="0"/>
        <w:ind w:right="-23"/>
        <w:jc w:val="center"/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6C2163"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ТА КІЛЬКІСНІ ХАРАКТЕРИСТИКИ ПРЕДМЕТУ ЗАКУПІВЛІ </w:t>
      </w:r>
    </w:p>
    <w:p w:rsidR="008F5ED5" w:rsidRPr="006C2163" w:rsidRDefault="008F5ED5" w:rsidP="008F5ED5">
      <w:pPr>
        <w:widowControl w:val="0"/>
        <w:suppressAutoHyphens/>
        <w:autoSpaceDE w:val="0"/>
        <w:ind w:right="-23"/>
        <w:jc w:val="center"/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F5ED5" w:rsidRPr="006C2163" w:rsidRDefault="003E2DC2" w:rsidP="008F5ED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8F5ED5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</w:t>
      </w: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іт </w:t>
      </w:r>
      <w:r w:rsidR="0003596D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 об’єкту </w:t>
      </w:r>
      <w:r w:rsidR="008F5ED5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644EF" w:rsidRPr="006C2163" w:rsidRDefault="003E2DC2" w:rsidP="001644EF">
      <w:pPr>
        <w:autoSpaceDE w:val="0"/>
        <w:autoSpaceDN w:val="0"/>
        <w:adjustRightInd w:val="0"/>
        <w:ind w:right="-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03596D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Капітальний ремонт системи гарячого водопостачання з встановленням </w:t>
      </w:r>
      <w:proofErr w:type="spellStart"/>
      <w:r w:rsidR="0003596D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загальнобудинкового</w:t>
      </w:r>
      <w:proofErr w:type="spellEnd"/>
      <w:r w:rsidR="0003596D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приладу обліку в житловому будинку по </w:t>
      </w:r>
      <w:r w:rsidR="001644EF" w:rsidRPr="001D6F72">
        <w:rPr>
          <w:rFonts w:ascii="Times New Roman" w:hAnsi="Times New Roman" w:cs="Times New Roman"/>
          <w:b/>
          <w:spacing w:val="-3"/>
          <w:sz w:val="24"/>
          <w:szCs w:val="24"/>
        </w:rPr>
        <w:t xml:space="preserve">вул. </w:t>
      </w:r>
      <w:r w:rsidR="001D6F72" w:rsidRPr="001D6F72">
        <w:rPr>
          <w:rFonts w:ascii="Times New Roman" w:hAnsi="Times New Roman" w:cs="Times New Roman"/>
          <w:b/>
          <w:spacing w:val="-3"/>
          <w:sz w:val="24"/>
          <w:szCs w:val="24"/>
        </w:rPr>
        <w:t>Рєпіна, 18</w:t>
      </w:r>
    </w:p>
    <w:p w:rsidR="008F5ED5" w:rsidRPr="006C2163" w:rsidRDefault="0003596D" w:rsidP="001A0030">
      <w:pPr>
        <w:autoSpaceDE w:val="0"/>
        <w:autoSpaceDN w:val="0"/>
        <w:adjustRightInd w:val="0"/>
        <w:ind w:right="-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м.</w:t>
      </w:r>
      <w:r w:rsidR="003D1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Вінниця</w:t>
      </w:r>
      <w:r w:rsidR="000C48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CA5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CA58B1" w:rsidRPr="00CA58B1">
        <w:rPr>
          <w:rFonts w:ascii="Times New Roman" w:hAnsi="Times New Roman" w:cs="Times New Roman"/>
          <w:b/>
          <w:spacing w:val="-2"/>
          <w:sz w:val="24"/>
          <w:szCs w:val="24"/>
        </w:rPr>
        <w:t>Коригування</w:t>
      </w:r>
      <w:r w:rsidR="000C48D1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8F5ED5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F5ED5" w:rsidRPr="006C2163" w:rsidRDefault="008F5ED5" w:rsidP="008F5ED5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84F79" w:rsidRPr="006C2163" w:rsidRDefault="008F5ED5" w:rsidP="00784F79">
      <w:pPr>
        <w:autoSpaceDE w:val="0"/>
        <w:autoSpaceDN w:val="0"/>
        <w:adjustRightInd w:val="0"/>
        <w:spacing w:before="53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784F79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І. Загальні положення</w:t>
      </w:r>
    </w:p>
    <w:p w:rsidR="00784F79" w:rsidRPr="006C2163" w:rsidRDefault="00784F79" w:rsidP="00784F79">
      <w:pPr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Проведення монтажних та </w:t>
      </w:r>
      <w:proofErr w:type="spellStart"/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пуско</w:t>
      </w:r>
      <w:proofErr w:type="spellEnd"/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- налагоджувальних робіт приладів обліку гарячої води. Встановлення необхідного програмного забезпечення на лічильники ГВП (при необхідності на модеми). Виведення інформації з лічильників </w:t>
      </w:r>
      <w:r w:rsidRPr="006C21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центральний диспетчерський пункт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та службу обліку. Тестування приладів обліку протягом 72 годин з оформленням відповідних актів вводу.</w:t>
      </w:r>
    </w:p>
    <w:p w:rsidR="00784F79" w:rsidRPr="006C2163" w:rsidRDefault="003A6DF9" w:rsidP="00784F79">
      <w:pPr>
        <w:suppressAutoHyphens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84F79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Підтвердженням виконання цього завдання  є введення в експлуатацію підрядною організацією (</w:t>
      </w:r>
      <w:r w:rsidR="00784F79" w:rsidRPr="006C21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надалі Підрядник</w:t>
      </w:r>
      <w:r w:rsidR="00784F79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приладів обліку г</w:t>
      </w:r>
      <w:r w:rsidR="008315DA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арячої води з підписанням актів</w:t>
      </w:r>
      <w:r w:rsidR="007D7719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Замовником та Підрядником.</w:t>
      </w:r>
    </w:p>
    <w:p w:rsidR="00C812F9" w:rsidRPr="006C2163" w:rsidRDefault="003A6DF9" w:rsidP="00C812F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D42D3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84F79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виконання обліку гарячої води і теплової енергії об'єкту, застосовується 2-х канальний </w:t>
      </w:r>
      <w:proofErr w:type="spellStart"/>
      <w:r w:rsidR="00784F79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теплолічильник</w:t>
      </w:r>
      <w:proofErr w:type="spellEnd"/>
      <w:r w:rsidR="002C1988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автономним живленням та </w:t>
      </w:r>
      <w:r w:rsidR="0008317A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ультразвуковими</w:t>
      </w:r>
      <w:r w:rsidR="00784F79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витратомірами на трубопроводі гарячої води та на зворотному циркуляційному трубопроводі і термоперетворювачами опору в трубопроводі гарячої води та на зворотному циркуляційному трубопроводі </w:t>
      </w:r>
      <w:r w:rsidR="00E85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лічильник типу Ергомера-125.АА-А4а-</w:t>
      </w:r>
      <w:r w:rsidR="00E85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</w:t>
      </w:r>
      <w:r w:rsidR="00E85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40/</w:t>
      </w:r>
      <w:r w:rsidR="00E85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E85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1/05/1.6</w:t>
      </w:r>
      <w:r w:rsidR="00E85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E85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Па/150°С/Л</w:t>
      </w:r>
      <w:r w:rsidR="00E85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E85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164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</w:t>
      </w:r>
      <w:r w:rsidR="00164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40/</w:t>
      </w:r>
      <w:r w:rsidR="00164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164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1/05/1.6</w:t>
      </w:r>
      <w:r w:rsidR="00164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164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Па/150°С/Л</w:t>
      </w:r>
      <w:r w:rsidR="00164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="00E85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/-И0-Д0-Т2-І0-</w:t>
      </w:r>
      <w:r w:rsidR="00E85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RS</w:t>
      </w:r>
      <w:r w:rsidR="00E85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232 або аналог</w:t>
      </w:r>
      <w:r w:rsidR="00784F79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83685" w:rsidRPr="006C2163">
        <w:rPr>
          <w:rFonts w:ascii="Times New Roman" w:eastAsia="Arial" w:hAnsi="Times New Roman" w:cs="Arial"/>
          <w:sz w:val="22"/>
          <w:szCs w:val="22"/>
        </w:rPr>
        <w:t xml:space="preserve"> </w:t>
      </w:r>
      <w:r w:rsidR="00083685" w:rsidRPr="006C2163">
        <w:rPr>
          <w:rFonts w:ascii="Times New Roman" w:eastAsia="Arial" w:hAnsi="Times New Roman" w:cs="Times New Roman"/>
          <w:sz w:val="24"/>
          <w:szCs w:val="24"/>
        </w:rPr>
        <w:t>Теплолічильник повинен відповідати ТЕХНІЧНОМУ РЕГЛАМЕНТУ, що ЗАТВЕРДЖЕНО постановою Кабінету Міністрів України від 24 лютого 2016 р. № 163 та ДСТУ EN1434-1,2,3,4,5,6:2014.</w:t>
      </w:r>
    </w:p>
    <w:p w:rsidR="001D42D3" w:rsidRPr="006C2163" w:rsidRDefault="00C812F9" w:rsidP="00C812F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1D42D3" w:rsidRPr="006C2163">
        <w:rPr>
          <w:rFonts w:ascii="Times New Roman" w:eastAsia="Arial" w:hAnsi="Times New Roman" w:cs="Times New Roman"/>
          <w:sz w:val="24"/>
          <w:szCs w:val="24"/>
        </w:rPr>
        <w:t xml:space="preserve">Похибка вимірювання витрати в діапазоні </w:t>
      </w:r>
      <w:r w:rsidRPr="006C2163">
        <w:rPr>
          <w:rFonts w:ascii="Times New Roman" w:eastAsia="Arial" w:hAnsi="Times New Roman" w:cs="Times New Roman"/>
          <w:sz w:val="24"/>
          <w:szCs w:val="24"/>
        </w:rPr>
        <w:t>від 0,1</w:t>
      </w:r>
      <w:proofErr w:type="spellStart"/>
      <w:r w:rsidRPr="006C2163">
        <w:rPr>
          <w:rFonts w:ascii="Times New Roman" w:eastAsia="Arial" w:hAnsi="Times New Roman" w:cs="Times New Roman"/>
          <w:sz w:val="24"/>
          <w:szCs w:val="24"/>
          <w:lang w:val="en-US"/>
        </w:rPr>
        <w:t>Qmax</w:t>
      </w:r>
      <w:proofErr w:type="spellEnd"/>
      <w:r w:rsidRPr="006C2163">
        <w:rPr>
          <w:rFonts w:ascii="Times New Roman" w:eastAsia="Arial" w:hAnsi="Times New Roman" w:cs="Times New Roman"/>
          <w:sz w:val="24"/>
          <w:szCs w:val="24"/>
        </w:rPr>
        <w:t xml:space="preserve"> до </w:t>
      </w:r>
      <w:proofErr w:type="spellStart"/>
      <w:r w:rsidRPr="006C2163">
        <w:rPr>
          <w:rFonts w:ascii="Times New Roman" w:eastAsia="Arial" w:hAnsi="Times New Roman" w:cs="Times New Roman"/>
          <w:sz w:val="24"/>
          <w:szCs w:val="24"/>
          <w:lang w:val="en-US"/>
        </w:rPr>
        <w:t>Qmax</w:t>
      </w:r>
      <w:proofErr w:type="spellEnd"/>
      <w:r w:rsidRPr="006C21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D42D3" w:rsidRPr="006C2163">
        <w:rPr>
          <w:rFonts w:ascii="Times New Roman" w:eastAsia="Arial" w:hAnsi="Times New Roman" w:cs="Times New Roman"/>
          <w:sz w:val="24"/>
          <w:szCs w:val="24"/>
        </w:rPr>
        <w:t>не більше 1,0%.</w:t>
      </w:r>
    </w:p>
    <w:p w:rsidR="001D42D3" w:rsidRPr="006C2163" w:rsidRDefault="001D42D3" w:rsidP="00083685">
      <w:pPr>
        <w:rPr>
          <w:rFonts w:ascii="Times New Roman" w:eastAsia="Arial" w:hAnsi="Times New Roman" w:cs="Times New Roman"/>
          <w:sz w:val="24"/>
          <w:szCs w:val="24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F338A5" w:rsidRPr="006C2163">
        <w:rPr>
          <w:rFonts w:ascii="Times New Roman" w:eastAsia="Arial" w:hAnsi="Times New Roman" w:cs="Times New Roman"/>
          <w:sz w:val="24"/>
          <w:szCs w:val="24"/>
        </w:rPr>
        <w:t>1.2.</w:t>
      </w:r>
      <w:r w:rsidRPr="006C21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38A5" w:rsidRPr="006C21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2163">
        <w:rPr>
          <w:rFonts w:ascii="Times New Roman" w:eastAsia="Arial" w:hAnsi="Times New Roman" w:cs="Times New Roman"/>
          <w:sz w:val="24"/>
          <w:szCs w:val="24"/>
        </w:rPr>
        <w:t>Глибина архівів</w:t>
      </w:r>
      <w:r w:rsidR="00BB5649" w:rsidRPr="006C2163">
        <w:rPr>
          <w:rFonts w:ascii="Times New Roman" w:eastAsia="Arial" w:hAnsi="Times New Roman" w:cs="Times New Roman"/>
          <w:sz w:val="24"/>
          <w:szCs w:val="24"/>
        </w:rPr>
        <w:t xml:space="preserve"> не менше </w:t>
      </w:r>
      <w:r w:rsidRPr="006C2163">
        <w:rPr>
          <w:rFonts w:ascii="Times New Roman" w:eastAsia="Arial" w:hAnsi="Times New Roman" w:cs="Times New Roman"/>
          <w:sz w:val="24"/>
          <w:szCs w:val="24"/>
        </w:rPr>
        <w:t>:</w:t>
      </w:r>
    </w:p>
    <w:p w:rsidR="001D42D3" w:rsidRPr="006C2163" w:rsidRDefault="001D42D3" w:rsidP="001D42D3">
      <w:pPr>
        <w:pStyle w:val="a5"/>
        <w:numPr>
          <w:ilvl w:val="0"/>
          <w:numId w:val="2"/>
        </w:num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>погодинний</w:t>
      </w:r>
      <w:r w:rsidR="00BB5649" w:rsidRPr="006C216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2163">
        <w:rPr>
          <w:rFonts w:ascii="Times New Roman" w:eastAsia="Arial" w:hAnsi="Times New Roman" w:cs="Times New Roman"/>
          <w:sz w:val="24"/>
          <w:szCs w:val="24"/>
        </w:rPr>
        <w:t>1900 годин  (79діб);</w:t>
      </w:r>
    </w:p>
    <w:p w:rsidR="001D42D3" w:rsidRPr="006C2163" w:rsidRDefault="00EE7B24" w:rsidP="001D42D3">
      <w:pPr>
        <w:pStyle w:val="a5"/>
        <w:numPr>
          <w:ilvl w:val="0"/>
          <w:numId w:val="2"/>
        </w:num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>добовий 365</w:t>
      </w:r>
      <w:r w:rsidR="001D42D3" w:rsidRPr="006C2163">
        <w:rPr>
          <w:rFonts w:ascii="Times New Roman" w:eastAsia="Arial" w:hAnsi="Times New Roman" w:cs="Times New Roman"/>
          <w:sz w:val="24"/>
          <w:szCs w:val="24"/>
        </w:rPr>
        <w:t>діб.</w:t>
      </w:r>
    </w:p>
    <w:p w:rsidR="001D42D3" w:rsidRPr="006C2163" w:rsidRDefault="001D42D3" w:rsidP="001D42D3">
      <w:pPr>
        <w:pStyle w:val="a5"/>
        <w:numPr>
          <w:ilvl w:val="0"/>
          <w:numId w:val="2"/>
        </w:num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>місячний 40 місяців</w:t>
      </w:r>
    </w:p>
    <w:p w:rsidR="00BB5649" w:rsidRPr="006C2163" w:rsidRDefault="00BB5649" w:rsidP="00EE7B24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>технологічний архів (хвилина або секунда) — не менше 4800 записів.</w:t>
      </w:r>
    </w:p>
    <w:p w:rsidR="00AD198D" w:rsidRPr="006C2163" w:rsidRDefault="00F338A5" w:rsidP="00C812F9">
      <w:pPr>
        <w:pStyle w:val="a5"/>
        <w:ind w:left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21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1.3. </w:t>
      </w:r>
      <w:r w:rsidR="00EE7B24" w:rsidRPr="006C21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Забезпечити </w:t>
      </w:r>
      <w:r w:rsidRPr="006C21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B24" w:rsidRPr="006C21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наявність</w:t>
      </w:r>
      <w:r w:rsidRPr="006C21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B24" w:rsidRPr="006C21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функції</w:t>
      </w:r>
      <w:r w:rsidRPr="006C21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B24" w:rsidRPr="006C21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вимірювання </w:t>
      </w:r>
      <w:r w:rsidRPr="006C21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B24" w:rsidRPr="006C21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температури холодної води або передбачити автоматичний перехід температурної константи з літнього періоду +15°C (15.04-15.10) на зимовий +5°C(15.10-15.04) у відповідності до Наказу Міністерства палива та енергетики України 14.02.2007 № 71 Пункт 7.2.42.</w:t>
      </w:r>
      <w:r w:rsidR="00C812F9" w:rsidRPr="006C21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Передбачити </w:t>
      </w:r>
      <w:r w:rsidR="00AD198D"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 xml:space="preserve">можливість підключення комунікаційних пристроїв, сумісних стандарту DCE </w:t>
      </w:r>
      <w:proofErr w:type="spellStart"/>
      <w:r w:rsidR="00AD198D"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>Device</w:t>
      </w:r>
      <w:proofErr w:type="spellEnd"/>
      <w:r w:rsidR="00AD198D"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 xml:space="preserve"> DB9 </w:t>
      </w:r>
      <w:proofErr w:type="spellStart"/>
      <w:r w:rsidR="00AD198D"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>Female</w:t>
      </w:r>
      <w:proofErr w:type="spellEnd"/>
      <w:r w:rsidR="00AD198D"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 xml:space="preserve"> відповідно до  ЕIA/ТIA-232.</w:t>
      </w:r>
    </w:p>
    <w:p w:rsidR="00AD198D" w:rsidRPr="006C2163" w:rsidRDefault="00C812F9" w:rsidP="00AD198D">
      <w:pPr>
        <w:suppressLineNumbers/>
        <w:suppressAutoHyphens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</w:pPr>
      <w:r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 xml:space="preserve">  1.4</w:t>
      </w:r>
      <w:r w:rsidR="00AD198D"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>. Забезпечити функцію вимірювання та реєстрації технологічних параметрів (тиску) в автоматизованому режимі без додаткового джерела живлення (ДСТУ EN1434-6:2014).</w:t>
      </w:r>
    </w:p>
    <w:p w:rsidR="00AD198D" w:rsidRPr="006C2163" w:rsidRDefault="00C812F9" w:rsidP="00AD198D">
      <w:pPr>
        <w:autoSpaceDE w:val="0"/>
        <w:autoSpaceDN w:val="0"/>
        <w:adjustRightInd w:val="0"/>
        <w:spacing w:before="7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1.5</w:t>
      </w:r>
      <w:r w:rsidR="00AD198D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Для передачі інформації  </w:t>
      </w:r>
      <w:r w:rsidR="00AD198D"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з лічильників </w:t>
      </w:r>
      <w:r w:rsidR="00AD198D" w:rsidRPr="006C21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центральний диспетчерський пункт</w:t>
      </w:r>
      <w:r w:rsidR="00AD198D"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та службу обліку</w:t>
      </w:r>
      <w:r w:rsidR="00AD198D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застосовується термінал з автономним живленням типу «</w:t>
      </w:r>
      <w:proofErr w:type="spellStart"/>
      <w:r w:rsidR="00AD198D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Ергомера</w:t>
      </w:r>
      <w:proofErr w:type="spellEnd"/>
      <w:r w:rsidR="00AD198D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- 261» з  GSM-</w:t>
      </w:r>
      <w:r w:rsidR="000C48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модулем або аналог з довжиною </w:t>
      </w:r>
      <w:proofErr w:type="spellStart"/>
      <w:r w:rsidR="000C48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</w:t>
      </w:r>
      <w:r w:rsidR="00AD198D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беля</w:t>
      </w:r>
      <w:proofErr w:type="spellEnd"/>
      <w:r w:rsidR="00AD198D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виносної антени 10м.</w:t>
      </w:r>
    </w:p>
    <w:p w:rsidR="00911710" w:rsidRPr="006C2163" w:rsidRDefault="00911710" w:rsidP="00AD198D">
      <w:pPr>
        <w:autoSpaceDE w:val="0"/>
        <w:autoSpaceDN w:val="0"/>
        <w:adjustRightInd w:val="0"/>
        <w:spacing w:before="7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1.6.  Ступень захисту витратоміра ІР68,</w:t>
      </w:r>
      <w:r w:rsidR="003D7852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обчислювача ІР66,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що має бути не гірше за вимог Пункту 6.1.3 ДСТУ EN1434-1:2014 у відповідності до ДСТУ EN 61010-1.</w:t>
      </w:r>
    </w:p>
    <w:p w:rsidR="00784F79" w:rsidRPr="006C2163" w:rsidRDefault="00EE7B24" w:rsidP="00784F79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98D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F79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Обчислювачі лічильника та GSM-модуль розмістити у захисній приладній  шафі.</w:t>
      </w:r>
    </w:p>
    <w:p w:rsidR="00784F79" w:rsidRDefault="00AD198D" w:rsidP="00784F79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84F79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Діаметри </w:t>
      </w:r>
      <w:proofErr w:type="spellStart"/>
      <w:r w:rsidR="00784F79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витратомірних</w:t>
      </w:r>
      <w:proofErr w:type="spellEnd"/>
      <w:r w:rsidR="00784F79"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дільниць та кількість приладів обліку ГВП наведенні у проектно-кошторисній документації.</w:t>
      </w:r>
    </w:p>
    <w:p w:rsidR="00644959" w:rsidRPr="006C2163" w:rsidRDefault="00644959" w:rsidP="00784F79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28F7" w:rsidRPr="006C2163" w:rsidRDefault="00B628F7" w:rsidP="00784F79">
      <w:pPr>
        <w:autoSpaceDE w:val="0"/>
        <w:autoSpaceDN w:val="0"/>
        <w:adjustRightInd w:val="0"/>
        <w:spacing w:before="53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7852" w:rsidRPr="006C2163" w:rsidRDefault="008F5ED5" w:rsidP="003D7852">
      <w:pPr>
        <w:autoSpaceDE w:val="0"/>
        <w:autoSpaceDN w:val="0"/>
        <w:adjustRightInd w:val="0"/>
        <w:spacing w:line="60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6C21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ІІ. Вимоги до виконання робіт та їх якості.</w:t>
      </w:r>
    </w:p>
    <w:p w:rsidR="008F5ED5" w:rsidRPr="006C2163" w:rsidRDefault="008F5ED5" w:rsidP="003D7852">
      <w:pPr>
        <w:autoSpaceDE w:val="0"/>
        <w:autoSpaceDN w:val="0"/>
        <w:adjustRightInd w:val="0"/>
        <w:spacing w:line="60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Будівельні, монтажні та інші роботи повинні бути виконані у відповідності із проектною документацією та вимогами ДБН, ДСТУ та діючих норм та стандартів. </w:t>
      </w:r>
    </w:p>
    <w:p w:rsidR="008F5ED5" w:rsidRPr="006C2163" w:rsidRDefault="008F5ED5" w:rsidP="008F5ED5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Встановлення приладів обліку гарячої води </w:t>
      </w:r>
      <w:r w:rsidR="00C43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теплової енергії 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повинно бути виконано в зазначені в договорі терміни.</w:t>
      </w:r>
    </w:p>
    <w:p w:rsidR="008F5ED5" w:rsidRPr="006C2163" w:rsidRDefault="008F5ED5" w:rsidP="008F5ED5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В обов’язки Підрядника входить виконання всього комплексу будівельно-монтажних та пусконалагоджувальних робіт по встановленню приладів обліку ГВП із забезпеченням якості виконання робіт і дотримання гарантійних зобов’язань. </w:t>
      </w:r>
    </w:p>
    <w:p w:rsidR="008F5ED5" w:rsidRPr="006C2163" w:rsidRDefault="008F5ED5" w:rsidP="008F5ED5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ІІІ. Обов’язки Підрядника.  </w:t>
      </w: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Підрядник повинен: </w:t>
      </w: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виконати будівельно-монтажні та пусконалагоджувальні роботи протягом 60 (шістдесяти) календарних днів з</w:t>
      </w:r>
      <w:r w:rsidR="00502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249E" w:rsidRPr="0050249E">
        <w:rPr>
          <w:rFonts w:ascii="Times New Roman" w:hAnsi="Times New Roman" w:cs="Times New Roman"/>
          <w:sz w:val="24"/>
          <w:szCs w:val="24"/>
        </w:rPr>
        <w:t>моменту підписання договору сторонами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придбати необхідні матеріали та комплектуюче обладнання згідно відомостей ресурсів та в обсягах, необхідних для виконання будівельно-монтажних робіт та забезпечити їх доставку згідно графіку  на об’єкти будівництва та збереження до моменту завершення робіт і передачею вузлів обліку Замовнику;  </w:t>
      </w: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виконати повний комплекс робіт по встановленню обладнання у відповідності з розробленою проектно - кошторисною документацією;</w:t>
      </w: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надати Замовнику повний комплект документів на українській мові (паспорти, сертифікати, інструкції тощо), які підтверджують відповідність технічних характеристик та якісних показників обладнання, контрольно - вимірювальних приладів та застосованих матеріалів і комплектуючих;</w:t>
      </w: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виконати повний обсяг робіт, включаючи пусконалагоджувальні роботи та контрольну передачу інформації з лічильника гарячої води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і теплової енергії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відповідно до термінів виконання робіт зазначених у графіку. Будь-які зміни термінів виконання робіт або постачання комплектуючих та матеріалів повинні бути обґрунтовані Підрядником та узгоджені з Замовником у письмовому вигляді;</w:t>
      </w: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організувати та забезпечити на об’єкті будівництва виконання вимог Закону України з охорони праці, дотримання протипожежних, санітарних  та екологічних норм, що повинно бути підтверджено наявністю та веденням необхідної документації, зокрема інструкція з охорони праці, наряди- допуски тощо, а також нести в повному обсязі юридичну, матеріальну та фінансову відповідальність згідно діючого законодавства за їх не виконання;</w:t>
      </w: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передати Замовнику після завершення робіт повний комплект виконавчої документації;</w:t>
      </w: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усунути протягом 3 (трьох) робочих днів з моменту відправлення повідомлення за свій рахунок всі дефекти, виявленні при здачі робіт Замовнику, якщо інший термін не погоджений сторонами. </w:t>
      </w: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ІV. Гарантійні зобов’язання Підрядника.</w:t>
      </w: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Гарантійний термін на виконані будівельно-монтажні роботи повинен складати не менше 10 років. Гарантійний термін експлуатації на обладнання та комплектуючі, які постачаються Підрядником становить не менше 5 років. Відлік гарантійного терміну починається з дати приймання в експлуатацію та підписанням Замовником відповідного акту. Рік виготовлення арматури, контрольно-вимірювальних приладів та інших комплектуючих повинен бути не раніше 202</w:t>
      </w:r>
      <w:r w:rsidR="00E53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року,</w:t>
      </w:r>
      <w:r>
        <w:rPr>
          <w:rFonts w:ascii="Times New Roman" w:hAnsi="Times New Roman" w:cs="Times New Roman"/>
          <w:sz w:val="24"/>
          <w:szCs w:val="24"/>
        </w:rPr>
        <w:t xml:space="preserve"> але не більше року з дня поставки матеріалів, устаткування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разі виявлення дефектів або недоліків протягом гарантійного терміну на виконані будівельно-монтажні роботи, обладнання, матеріали або комплектуючі Підрядник за письмовою згодою Замовника зобов’язаний усунути такі дефекти протягом 14 (чотирнадцяти) робочих днів з моменту відправлення відповідного повідомлення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Підряднику або в інші терміни за згодою Замовника. Перелік дефектів або порушень визначається дефектним актом за підписами сторін. </w:t>
      </w: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V.  Здача та приймання вузла обліку в експлуатацію.</w:t>
      </w: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тестування приладів обліку протягом 72 годин вузол обліку гарячої води і теплової енергії приймаються в експлуатацію зі складанням та підписанням Замовником відповідного акту. Після завершення повного комплексу робіт по улаштуванню вузла обліку Підрядник зобов’язаний передати замовнику виконавчу документацію, зокрема:</w:t>
      </w:r>
    </w:p>
    <w:p w:rsidR="003E3722" w:rsidRDefault="003E3722" w:rsidP="003E3722">
      <w:pPr>
        <w:numPr>
          <w:ilvl w:val="0"/>
          <w:numId w:val="3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протоколи випробувань і вимірювань обладнання та устаткування;</w:t>
      </w:r>
    </w:p>
    <w:p w:rsidR="003E3722" w:rsidRDefault="003E3722" w:rsidP="003E3722">
      <w:pPr>
        <w:numPr>
          <w:ilvl w:val="0"/>
          <w:numId w:val="3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протоколи (акти) пусконалагоджувальних робіт проектного обладнання;</w:t>
      </w:r>
    </w:p>
    <w:p w:rsidR="003E3722" w:rsidRDefault="003E3722" w:rsidP="003E3722">
      <w:pPr>
        <w:numPr>
          <w:ilvl w:val="0"/>
          <w:numId w:val="3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паспорта та інструкції по експлуатації на контрольно-вимірювальні прилади;</w:t>
      </w:r>
    </w:p>
    <w:p w:rsidR="003E3722" w:rsidRDefault="003E3722" w:rsidP="003E3722">
      <w:pPr>
        <w:numPr>
          <w:ilvl w:val="0"/>
          <w:numId w:val="3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паспорта на запірну арматуру та інше обладнання;</w:t>
      </w:r>
    </w:p>
    <w:p w:rsidR="003E3722" w:rsidRDefault="003E3722" w:rsidP="003E3722">
      <w:pPr>
        <w:numPr>
          <w:ilvl w:val="0"/>
          <w:numId w:val="3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сертифікати відповідності на матеріали та комплектуючі;</w:t>
      </w:r>
    </w:p>
    <w:p w:rsidR="003E3722" w:rsidRDefault="003E3722" w:rsidP="003E3722">
      <w:pPr>
        <w:numPr>
          <w:ilvl w:val="0"/>
          <w:numId w:val="3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акти приймання виконання будівельних робіт форми КБ-2, КБ-3;</w:t>
      </w:r>
    </w:p>
    <w:p w:rsidR="003E3722" w:rsidRDefault="003E3722" w:rsidP="003E3722">
      <w:pPr>
        <w:numPr>
          <w:ilvl w:val="0"/>
          <w:numId w:val="3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іншу технічну документацію згідно вимог чинних нормативних документів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.</w:t>
      </w:r>
    </w:p>
    <w:p w:rsidR="003E3722" w:rsidRDefault="003E3722" w:rsidP="003E3722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5ED5" w:rsidRPr="006C2163" w:rsidRDefault="008F5ED5" w:rsidP="008F5ED5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hi-IN" w:bidi="hi-IN"/>
        </w:rPr>
      </w:pPr>
      <w:bookmarkStart w:id="0" w:name="_GoBack"/>
      <w:bookmarkEnd w:id="0"/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  </w:t>
      </w:r>
      <w:r w:rsidRPr="006C216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hi-IN" w:bidi="hi-IN"/>
        </w:rPr>
        <w:t>VI. Документи які надаються Учасником</w:t>
      </w:r>
    </w:p>
    <w:p w:rsidR="008F5ED5" w:rsidRPr="006C2163" w:rsidRDefault="008F5ED5" w:rsidP="008F5ED5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Для виконання робіт по встановленню приладів обліку ГВП Учасник повинен надати у складі своєї пропозиції копії (завірені власним підписом та печаткою) наступних документів:</w:t>
      </w:r>
    </w:p>
    <w:p w:rsidR="008F5ED5" w:rsidRPr="006C2163" w:rsidRDefault="008F5ED5" w:rsidP="008F5ED5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у разі залучення до виконання робіт субпідрядних організацій, Учасник надає довідку з переліком субпідрядних організацій, які будуть залучені до виконання робіт з обов’язковим наданням усіх документів, що передбачені для підрядника у даному пункті; </w:t>
      </w:r>
    </w:p>
    <w:p w:rsidR="008F5ED5" w:rsidRPr="006C2163" w:rsidRDefault="008F5ED5" w:rsidP="008F5ED5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у випадку, якщо Учасник не планує залучати підрядні організації, він надає що до цього лист (довідку) в довільній формі;</w:t>
      </w:r>
    </w:p>
    <w:p w:rsidR="00E86A4B" w:rsidRPr="006C2163" w:rsidRDefault="008F5ED5" w:rsidP="003E3722">
      <w:pPr>
        <w:pStyle w:val="a5"/>
        <w:widowControl w:val="0"/>
        <w:numPr>
          <w:ilvl w:val="0"/>
          <w:numId w:val="1"/>
        </w:numPr>
        <w:spacing w:beforeLines="40" w:before="96" w:afterLines="40" w:after="96"/>
        <w:ind w:left="0" w:right="113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договірну ціну, локальний кошторис на будівельні роботи, підсумкову відомість ресурсів до локального кошторису, розрахунок загальновиробничих витрат до локального кошторису, показники ЗВВ з розрахунками показників, визначених розрахунково-аналітичним методом</w:t>
      </w:r>
      <w:r w:rsidR="00DF05E6"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DF05E6"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hi-IN" w:bidi="hi-IN"/>
        </w:rPr>
        <w:t>(у сканованому вигляді та електронному в програмному комплексі АВК-5 (</w:t>
      </w:r>
      <w:proofErr w:type="spellStart"/>
      <w:r w:rsidR="00DF05E6"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hi-IN" w:bidi="hi-IN"/>
        </w:rPr>
        <w:t>imd</w:t>
      </w:r>
      <w:proofErr w:type="spellEnd"/>
      <w:r w:rsidR="00DF05E6"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hi-IN" w:bidi="hi-IN"/>
        </w:rPr>
        <w:t>), або у програмному комплексі, який взаємодіє з ним в частині передачі кошторисної документації та розрахунків договірних цін</w:t>
      </w:r>
      <w:r w:rsidR="00DF05E6"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.)</w:t>
      </w:r>
      <w:r w:rsidR="00E86A4B"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E86A4B" w:rsidRPr="006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 xml:space="preserve">По кожному </w:t>
      </w:r>
      <w:proofErr w:type="spellStart"/>
      <w:r w:rsidR="00E86A4B" w:rsidRPr="006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обʼєкту</w:t>
      </w:r>
      <w:proofErr w:type="spellEnd"/>
      <w:r w:rsidR="00E86A4B" w:rsidRPr="006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 xml:space="preserve"> окремо у відповідності додатку </w:t>
      </w:r>
      <w:r w:rsidR="00AD308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2</w:t>
      </w:r>
      <w:r w:rsidR="00E86A4B" w:rsidRPr="006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.2</w:t>
      </w:r>
      <w:r w:rsidR="00E84651" w:rsidRPr="006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 xml:space="preserve"> </w:t>
      </w:r>
      <w:r w:rsidR="002E2DAA" w:rsidRPr="006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(відомість обсягів робіт)</w:t>
      </w:r>
      <w:r w:rsidR="00E86A4B" w:rsidRPr="006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 xml:space="preserve"> та з врахування</w:t>
      </w:r>
      <w:r w:rsidR="00AD308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м відомостей ресурсів (додаток 2</w:t>
      </w:r>
      <w:r w:rsidR="00E86A4B" w:rsidRPr="006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.1);</w:t>
      </w:r>
    </w:p>
    <w:p w:rsidR="008F5ED5" w:rsidRPr="006C2163" w:rsidRDefault="008F5ED5" w:rsidP="008F5ED5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ліцензія на </w:t>
      </w:r>
      <w:r w:rsidR="00394833"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провадження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господарської діяльності з будівництва (з додатком видів робіт) чинна протягом всього терміну виконання робіт;</w:t>
      </w:r>
    </w:p>
    <w:p w:rsidR="004C7DA5" w:rsidRDefault="004C7DA5" w:rsidP="004C7DA5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перелік персоналу з відповідною кваліфікацією, яка підтверджується відповідними документами у вигляді завірених копій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посвідчення</w:t>
      </w:r>
      <w: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зварювальника, слюсарів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КВПіА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, електромонтерів та ін. (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hi-IN" w:bidi="hi-IN"/>
        </w:rPr>
        <w:t>відповідно Додатку 1 до Тендерної документації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)</w:t>
      </w:r>
    </w:p>
    <w:p w:rsidR="004C7DA5" w:rsidRDefault="004C7DA5" w:rsidP="004C7DA5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копії 2-х договорів на виконання аналогічних робіт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 встановленням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загальнобудинкових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приладів обліку в житлових будинках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 w:rsidR="001C21B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за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останні 2 роки</w:t>
      </w:r>
      <w:r w:rsidR="005158D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;</w:t>
      </w:r>
    </w:p>
    <w:p w:rsidR="005158DB" w:rsidRPr="005158DB" w:rsidRDefault="005158DB" w:rsidP="005158DB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документи, що Учасник є офіційним представником виробника, дилером, або виробником</w:t>
      </w:r>
      <w:r w:rsidR="00AD308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устаткування, зазначене в підсумковій відомості ресурсів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.</w:t>
      </w:r>
    </w:p>
    <w:p w:rsidR="008F5ED5" w:rsidRPr="006C2163" w:rsidRDefault="00B71961" w:rsidP="00347D8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    </w:t>
      </w:r>
      <w:r w:rsidR="008F5ED5"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Замовник здійснює контроль та технічний нагляд за якістю, обсягами та вартістю робіт по улаштуванню вузлів обліку, відповідність виконаних робіт нормативам, будівельним нормам та правилам. У випадку залучення для виконання робіт субпідрядними організаціями на них покладаються всі вимоги викладені в технічному завдані та договорі.</w:t>
      </w:r>
    </w:p>
    <w:p w:rsidR="008F5ED5" w:rsidRPr="006C2163" w:rsidRDefault="00B71961" w:rsidP="008F5ED5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   </w:t>
      </w:r>
      <w:r w:rsidR="008F5ED5"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Термін виконання робіт відповідно до умов договору згідно графіку, погодженого з Замовником. Після закінчення робіт Підрядник зобов’язаний надати Замовнику протягом трьох робочих днів повний комплект виконавчої документації. </w:t>
      </w:r>
    </w:p>
    <w:p w:rsidR="008F5ED5" w:rsidRPr="006C2163" w:rsidRDefault="008F5ED5" w:rsidP="008F5ED5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</w:p>
    <w:p w:rsidR="008F5ED5" w:rsidRPr="006C2163" w:rsidRDefault="008F5ED5" w:rsidP="008F5ED5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</w:p>
    <w:p w:rsidR="008F5ED5" w:rsidRPr="006C2163" w:rsidRDefault="008F5ED5" w:rsidP="008F5ED5">
      <w:pPr>
        <w:autoSpaceDN w:val="0"/>
        <w:ind w:right="-2" w:firstLine="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21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Примітки: </w:t>
      </w:r>
    </w:p>
    <w:p w:rsidR="00FA633F" w:rsidRPr="006C2163" w:rsidRDefault="00FA633F" w:rsidP="00FA633F">
      <w:pPr>
        <w:tabs>
          <w:tab w:val="left" w:pos="708"/>
        </w:tabs>
        <w:suppressAutoHyphens/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C216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Усі посилання у даному Додатку на конкретну торговельну марку чи фірму, патент, конструкцію або тип предмета закупівлі, джерело його походження або виробника, вживаються у значенні  «або </w:t>
      </w:r>
      <w:r w:rsidR="00BA3134" w:rsidRPr="006C2163">
        <w:rPr>
          <w:rFonts w:ascii="Times New Roman" w:eastAsia="Times New Roman" w:hAnsi="Times New Roman" w:cs="Times New Roman"/>
          <w:bCs/>
          <w:i/>
          <w:sz w:val="24"/>
          <w:szCs w:val="24"/>
        </w:rPr>
        <w:t>аналог</w:t>
      </w:r>
      <w:r w:rsidRPr="006C2163">
        <w:rPr>
          <w:rFonts w:ascii="Times New Roman" w:eastAsia="Times New Roman" w:hAnsi="Times New Roman" w:cs="Times New Roman"/>
          <w:bCs/>
          <w:i/>
          <w:sz w:val="24"/>
          <w:szCs w:val="24"/>
        </w:rPr>
        <w:t>».</w:t>
      </w:r>
    </w:p>
    <w:p w:rsidR="00FA633F" w:rsidRPr="006C2163" w:rsidRDefault="00FA633F" w:rsidP="00FA633F">
      <w:pPr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ru-RU"/>
        </w:rPr>
      </w:pPr>
      <w:r w:rsidRPr="006C2163">
        <w:rPr>
          <w:rFonts w:ascii="Times New Roman" w:hAnsi="Times New Roman" w:cs="Times New Roman"/>
          <w:iCs/>
        </w:rPr>
        <w:t>Учасник під «</w:t>
      </w:r>
      <w:r w:rsidR="000E1864" w:rsidRPr="006C2163">
        <w:rPr>
          <w:rFonts w:ascii="Times New Roman" w:hAnsi="Times New Roman" w:cs="Times New Roman"/>
          <w:iCs/>
        </w:rPr>
        <w:t>аналогом</w:t>
      </w:r>
      <w:r w:rsidRPr="006C2163">
        <w:rPr>
          <w:rFonts w:ascii="Times New Roman" w:hAnsi="Times New Roman" w:cs="Times New Roman"/>
          <w:iCs/>
        </w:rPr>
        <w:t>»  повинен запропонувати обладнання, устаткування, матеріали, інвентар тощо, технічні характеристики яких дають можливість учасникові виконати проектні рішення в повному комплексі згідно з чинними нормами. У разі заміни обладнання, устаткування, матеріалів, інвентарю тощо на «</w:t>
      </w:r>
      <w:r w:rsidR="000E1864" w:rsidRPr="006C2163">
        <w:rPr>
          <w:rFonts w:ascii="Times New Roman" w:hAnsi="Times New Roman" w:cs="Times New Roman"/>
          <w:iCs/>
        </w:rPr>
        <w:t>аналог</w:t>
      </w:r>
      <w:r w:rsidRPr="006C2163">
        <w:rPr>
          <w:rFonts w:ascii="Times New Roman" w:hAnsi="Times New Roman" w:cs="Times New Roman"/>
          <w:iCs/>
        </w:rPr>
        <w:t>» під час подання  пропозиції, такий учасник повинен подати порівняльну таблицю технічних характеристик тих позицій обладнання, устаткування, матеріалів, інвентарю тощо, які він планує замінити, для підтвердження технічної, функціональної та якісної відповідності «</w:t>
      </w:r>
      <w:r w:rsidR="00561656" w:rsidRPr="006C2163">
        <w:rPr>
          <w:rFonts w:ascii="Times New Roman" w:hAnsi="Times New Roman" w:cs="Times New Roman"/>
          <w:iCs/>
        </w:rPr>
        <w:t>аналога</w:t>
      </w:r>
      <w:r w:rsidRPr="006C2163">
        <w:rPr>
          <w:rFonts w:ascii="Times New Roman" w:hAnsi="Times New Roman" w:cs="Times New Roman"/>
          <w:iCs/>
        </w:rPr>
        <w:t>» технічним рішенням проектної документації.</w:t>
      </w:r>
    </w:p>
    <w:p w:rsidR="00FA633F" w:rsidRPr="006C2163" w:rsidRDefault="00FA633F" w:rsidP="00FA633F">
      <w:pPr>
        <w:rPr>
          <w:rFonts w:ascii="Times New Roman" w:hAnsi="Times New Roman" w:cs="Times New Roman"/>
          <w:i/>
          <w:iCs/>
        </w:rPr>
      </w:pPr>
      <w:r w:rsidRPr="006C2163">
        <w:rPr>
          <w:rFonts w:ascii="Times New Roman" w:hAnsi="Times New Roman" w:cs="Times New Roman"/>
          <w:i/>
          <w:iCs/>
        </w:rPr>
        <w:t xml:space="preserve">                                      </w:t>
      </w:r>
    </w:p>
    <w:p w:rsidR="00FA633F" w:rsidRPr="006C2163" w:rsidRDefault="00FA633F" w:rsidP="00FA633F">
      <w:pPr>
        <w:jc w:val="center"/>
        <w:rPr>
          <w:rFonts w:ascii="Times New Roman" w:hAnsi="Times New Roman" w:cs="Times New Roman"/>
          <w:iCs/>
          <w:lang w:val="ru-RU"/>
        </w:rPr>
      </w:pPr>
      <w:r w:rsidRPr="006C2163">
        <w:rPr>
          <w:rFonts w:ascii="Times New Roman" w:hAnsi="Times New Roman" w:cs="Times New Roman"/>
          <w:iCs/>
        </w:rPr>
        <w:t>ПОРІВНЯЛЬНА ТАБЛИЦЯ</w:t>
      </w: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2255"/>
        <w:gridCol w:w="2149"/>
        <w:gridCol w:w="2373"/>
        <w:gridCol w:w="2149"/>
      </w:tblGrid>
      <w:tr w:rsidR="00FA633F" w:rsidRPr="006C2163" w:rsidTr="00FA633F">
        <w:trPr>
          <w:trHeight w:val="113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3F" w:rsidRPr="006C2163" w:rsidRDefault="00FA633F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C2163">
              <w:rPr>
                <w:rFonts w:ascii="Times New Roman" w:hAnsi="Times New Roman" w:cs="Times New Roman"/>
                <w:iCs/>
              </w:rPr>
              <w:t>№з/п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3F" w:rsidRPr="006C2163" w:rsidRDefault="00FA633F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C2163">
              <w:rPr>
                <w:rFonts w:ascii="Times New Roman" w:hAnsi="Times New Roman" w:cs="Times New Roman"/>
                <w:iCs/>
              </w:rPr>
              <w:t>Найменування товару відповідно до  документації замовника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3F" w:rsidRPr="006C2163" w:rsidRDefault="00FA633F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C2163">
              <w:rPr>
                <w:rFonts w:ascii="Times New Roman" w:hAnsi="Times New Roman" w:cs="Times New Roman"/>
                <w:iCs/>
              </w:rPr>
              <w:t>Опис та характеристика товару за вимогами замовника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3F" w:rsidRPr="006C2163" w:rsidRDefault="00FA633F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C2163">
              <w:rPr>
                <w:rFonts w:ascii="Times New Roman" w:hAnsi="Times New Roman" w:cs="Times New Roman"/>
                <w:iCs/>
              </w:rPr>
              <w:t>Найменування товару відповідно до  пропозиції учасника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3F" w:rsidRPr="006C2163" w:rsidRDefault="00FA633F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C2163">
              <w:rPr>
                <w:rFonts w:ascii="Times New Roman" w:hAnsi="Times New Roman" w:cs="Times New Roman"/>
                <w:iCs/>
              </w:rPr>
              <w:t>Опис та характеристика товару, який надається учасником</w:t>
            </w:r>
          </w:p>
        </w:tc>
      </w:tr>
      <w:tr w:rsidR="00FA633F" w:rsidRPr="006C2163" w:rsidTr="00FA63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3F" w:rsidRPr="006C2163" w:rsidRDefault="00FA633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3F" w:rsidRPr="006C2163" w:rsidRDefault="00FA633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3F" w:rsidRPr="006C2163" w:rsidRDefault="00FA633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3F" w:rsidRPr="006C2163" w:rsidRDefault="00FA633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3F" w:rsidRPr="006C2163" w:rsidRDefault="00FA633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F338A5" w:rsidRPr="006C2163" w:rsidRDefault="00F338A5" w:rsidP="00FA633F">
      <w:pPr>
        <w:autoSpaceDN w:val="0"/>
        <w:ind w:right="-2" w:firstLine="14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FA633F" w:rsidRPr="006C2163" w:rsidRDefault="00FA633F" w:rsidP="00FA633F">
      <w:pPr>
        <w:autoSpaceDN w:val="0"/>
        <w:ind w:right="-2" w:firstLine="14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C21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У разі, якщо товар запропонований Учасником, не відповідає технічним та якісним вимогам Замовника або Учасник не в змозі виконати умови його постачання, висунуті Замовником, тендерна пропозиція такого Учасника відхиляється. </w:t>
      </w:r>
    </w:p>
    <w:p w:rsidR="00FA633F" w:rsidRPr="00537952" w:rsidRDefault="00FA633F" w:rsidP="00FA633F">
      <w:pPr>
        <w:autoSpaceDN w:val="0"/>
        <w:ind w:right="-2" w:firstLine="142"/>
        <w:rPr>
          <w:rFonts w:ascii="Times New Roman" w:eastAsia="Times New Roman CYR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 w:rsidRPr="006C21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Замовник може прийняти рішення про відмову Учаснику в участі у процедурі закупівлі та може відхилити тендерну пропозицію Учасника у разі, якщо Учасник в минулому, при проведенні Замовником закупівель товарів (робіт чи послуг), будучи переможцем процедури торгів, відмовився від укладення договору про закупівлю або з власної ініціативи розірвав укладений договір про закупівлю, чи не належно виконував умови договору, що призвело до його розірвання.</w:t>
      </w:r>
    </w:p>
    <w:p w:rsidR="008F5ED5" w:rsidRPr="00537952" w:rsidRDefault="008F5ED5" w:rsidP="008F5ED5">
      <w:pPr>
        <w:autoSpaceDN w:val="0"/>
        <w:ind w:firstLine="142"/>
        <w:rPr>
          <w:rFonts w:ascii="Times New Roman" w:eastAsia="Lucida Sans Unicode" w:hAnsi="Times New Roman" w:cs="Tahoma"/>
          <w:b/>
          <w:i/>
          <w:color w:val="000000" w:themeColor="text1"/>
          <w:kern w:val="2"/>
          <w:sz w:val="28"/>
          <w:szCs w:val="28"/>
          <w:lang w:eastAsia="hi-IN" w:bidi="hi-IN"/>
        </w:rPr>
      </w:pPr>
    </w:p>
    <w:p w:rsidR="008F5ED5" w:rsidRPr="003A6DF9" w:rsidRDefault="008F5ED5" w:rsidP="003A6DF9">
      <w:pPr>
        <w:shd w:val="clear" w:color="auto" w:fill="FFFFFF"/>
        <w:autoSpaceDN w:val="0"/>
        <w:ind w:right="1" w:firstLine="142"/>
        <w:jc w:val="center"/>
        <w:rPr>
          <w:rFonts w:ascii="Times New Roman" w:eastAsia="Lucida Sans Unicode" w:hAnsi="Times New Roman" w:cs="Tahoma"/>
          <w:b/>
          <w:color w:val="000000" w:themeColor="text1"/>
          <w:kern w:val="2"/>
          <w:sz w:val="24"/>
          <w:szCs w:val="24"/>
          <w:lang w:eastAsia="hi-IN" w:bidi="hi-IN"/>
        </w:rPr>
      </w:pPr>
      <w:r w:rsidRPr="00537952">
        <w:rPr>
          <w:rFonts w:ascii="Times New Roman" w:eastAsia="Lucida Sans Unicode" w:hAnsi="Times New Roman" w:cs="Tahoma"/>
          <w:b/>
          <w:color w:val="000000" w:themeColor="text1"/>
          <w:kern w:val="2"/>
          <w:sz w:val="24"/>
          <w:szCs w:val="24"/>
          <w:lang w:eastAsia="hi-IN" w:bidi="hi-IN"/>
        </w:rPr>
        <w:t>Посада, прізвище, ініціали, підпис керівника чи уповноваженої особи Учасника</w:t>
      </w:r>
    </w:p>
    <w:sectPr w:rsidR="008F5ED5" w:rsidRPr="003A6DF9" w:rsidSect="004E1CE5">
      <w:pgSz w:w="11906" w:h="16838"/>
      <w:pgMar w:top="709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5176"/>
    <w:multiLevelType w:val="hybridMultilevel"/>
    <w:tmpl w:val="E200B414"/>
    <w:lvl w:ilvl="0" w:tplc="9ACCFD6C">
      <w:start w:val="5"/>
      <w:numFmt w:val="bullet"/>
      <w:lvlText w:val="-"/>
      <w:lvlJc w:val="left"/>
      <w:pPr>
        <w:ind w:left="660" w:hanging="360"/>
      </w:pPr>
      <w:rPr>
        <w:rFonts w:ascii="Times New Roman" w:eastAsia="Arial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C1D4475"/>
    <w:multiLevelType w:val="hybridMultilevel"/>
    <w:tmpl w:val="18363A3C"/>
    <w:lvl w:ilvl="0" w:tplc="DF7C4A48">
      <w:start w:val="3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7FCE"/>
    <w:rsid w:val="00021215"/>
    <w:rsid w:val="00031109"/>
    <w:rsid w:val="00031E1B"/>
    <w:rsid w:val="0003596D"/>
    <w:rsid w:val="00055462"/>
    <w:rsid w:val="0008317A"/>
    <w:rsid w:val="00083685"/>
    <w:rsid w:val="0008608D"/>
    <w:rsid w:val="000C48D1"/>
    <w:rsid w:val="000E1864"/>
    <w:rsid w:val="00103678"/>
    <w:rsid w:val="001644EF"/>
    <w:rsid w:val="00164674"/>
    <w:rsid w:val="001A0030"/>
    <w:rsid w:val="001C21B9"/>
    <w:rsid w:val="001D42D3"/>
    <w:rsid w:val="001D6F72"/>
    <w:rsid w:val="00204559"/>
    <w:rsid w:val="002C1988"/>
    <w:rsid w:val="002E2DAA"/>
    <w:rsid w:val="003138DF"/>
    <w:rsid w:val="003202E5"/>
    <w:rsid w:val="00347D81"/>
    <w:rsid w:val="003803C1"/>
    <w:rsid w:val="00394833"/>
    <w:rsid w:val="003A6DF9"/>
    <w:rsid w:val="003D1D09"/>
    <w:rsid w:val="003D7852"/>
    <w:rsid w:val="003E2DC2"/>
    <w:rsid w:val="003E3722"/>
    <w:rsid w:val="00463C49"/>
    <w:rsid w:val="004C7DA5"/>
    <w:rsid w:val="004E07F7"/>
    <w:rsid w:val="004E1CE5"/>
    <w:rsid w:val="004F0943"/>
    <w:rsid w:val="0050249E"/>
    <w:rsid w:val="005032DE"/>
    <w:rsid w:val="005066BC"/>
    <w:rsid w:val="005158DB"/>
    <w:rsid w:val="00533BCF"/>
    <w:rsid w:val="00537952"/>
    <w:rsid w:val="00547191"/>
    <w:rsid w:val="00555885"/>
    <w:rsid w:val="00561656"/>
    <w:rsid w:val="00584364"/>
    <w:rsid w:val="0059278C"/>
    <w:rsid w:val="005B3567"/>
    <w:rsid w:val="00602009"/>
    <w:rsid w:val="00644959"/>
    <w:rsid w:val="0065546C"/>
    <w:rsid w:val="00671D94"/>
    <w:rsid w:val="006C2163"/>
    <w:rsid w:val="006D3527"/>
    <w:rsid w:val="006D7548"/>
    <w:rsid w:val="007147F2"/>
    <w:rsid w:val="00715E5B"/>
    <w:rsid w:val="00761B34"/>
    <w:rsid w:val="00784F79"/>
    <w:rsid w:val="007B74E9"/>
    <w:rsid w:val="007C163F"/>
    <w:rsid w:val="007D43F1"/>
    <w:rsid w:val="007D7719"/>
    <w:rsid w:val="007F7730"/>
    <w:rsid w:val="008315DA"/>
    <w:rsid w:val="00833D11"/>
    <w:rsid w:val="008C0BD8"/>
    <w:rsid w:val="008C6730"/>
    <w:rsid w:val="008E145C"/>
    <w:rsid w:val="008F5ED5"/>
    <w:rsid w:val="00911710"/>
    <w:rsid w:val="009224E7"/>
    <w:rsid w:val="00952CCD"/>
    <w:rsid w:val="0096336C"/>
    <w:rsid w:val="00967D1F"/>
    <w:rsid w:val="00992B7F"/>
    <w:rsid w:val="00997972"/>
    <w:rsid w:val="009A4FFC"/>
    <w:rsid w:val="00AB2E4D"/>
    <w:rsid w:val="00AB4F1A"/>
    <w:rsid w:val="00AD198D"/>
    <w:rsid w:val="00AD3083"/>
    <w:rsid w:val="00B628F7"/>
    <w:rsid w:val="00B66CD9"/>
    <w:rsid w:val="00B71961"/>
    <w:rsid w:val="00BA3134"/>
    <w:rsid w:val="00BB5649"/>
    <w:rsid w:val="00C43929"/>
    <w:rsid w:val="00C812F9"/>
    <w:rsid w:val="00C84704"/>
    <w:rsid w:val="00CA58B1"/>
    <w:rsid w:val="00CD0077"/>
    <w:rsid w:val="00CD7F26"/>
    <w:rsid w:val="00D85373"/>
    <w:rsid w:val="00D8666B"/>
    <w:rsid w:val="00D93807"/>
    <w:rsid w:val="00DA46BB"/>
    <w:rsid w:val="00DE250B"/>
    <w:rsid w:val="00DF05E6"/>
    <w:rsid w:val="00E1251F"/>
    <w:rsid w:val="00E53C3C"/>
    <w:rsid w:val="00E678FF"/>
    <w:rsid w:val="00E82F16"/>
    <w:rsid w:val="00E84651"/>
    <w:rsid w:val="00E85267"/>
    <w:rsid w:val="00E86A4B"/>
    <w:rsid w:val="00E86E8B"/>
    <w:rsid w:val="00EE7B24"/>
    <w:rsid w:val="00F338A5"/>
    <w:rsid w:val="00F36ACE"/>
    <w:rsid w:val="00F36C22"/>
    <w:rsid w:val="00F37FCE"/>
    <w:rsid w:val="00F71A90"/>
    <w:rsid w:val="00F94255"/>
    <w:rsid w:val="00F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6F4F-DAEF-45D3-8D4A-B1392C70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7FC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FCE"/>
    <w:rPr>
      <w:rFonts w:ascii="Tahoma" w:eastAsia="Calibri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9A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7410</Words>
  <Characters>4224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2022-03-18T10:48:00Z</dcterms:created>
  <dcterms:modified xsi:type="dcterms:W3CDTF">2023-03-24T08:18:00Z</dcterms:modified>
</cp:coreProperties>
</file>