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widowControl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3 ДЕРЖАВНИЙ ПОЖЕЖНО-РЯТУВАЛЬНИЙ ЗАГІН</w:t>
      </w:r>
    </w:p>
    <w:p>
      <w:pPr>
        <w:pStyle w:val="Normal"/>
        <w:widowControl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ГОЛОВНОГО УПРАВЛІННЯ ДСНС УКРАЇНИ</w:t>
      </w:r>
    </w:p>
    <w:p>
      <w:pPr>
        <w:pStyle w:val="Normal"/>
        <w:widowControl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 xml:space="preserve">У ЧЕРНІВЕЦЬКІЙ ОБЛАСТІ </w:t>
      </w:r>
    </w:p>
    <w:p>
      <w:pPr>
        <w:pStyle w:val="Normal"/>
        <w:suppressAutoHyphens w:val="true"/>
        <w:snapToGrid w:val="false"/>
        <w:spacing w:lineRule="auto" w:line="240" w:before="0" w:after="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r>
    </w:p>
    <w:p>
      <w:pPr>
        <w:pStyle w:val="Normal"/>
        <w:suppressAutoHyphens w:val="true"/>
        <w:snapToGrid w:val="false"/>
        <w:spacing w:lineRule="auto" w:line="240" w:before="0" w:after="0"/>
        <w:jc w:val="right"/>
        <w:rPr>
          <w:rFonts w:ascii="Times New Roman" w:hAnsi="Times New Roman" w:cs="Times New Roman"/>
          <w:b/>
          <w:b/>
          <w:sz w:val="28"/>
          <w:szCs w:val="24"/>
          <w:lang w:eastAsia="zh-CN"/>
        </w:rPr>
      </w:pPr>
      <w:r>
        <w:rPr>
          <w:rFonts w:cs="Times New Roman" w:ascii="Times New Roman" w:hAnsi="Times New Roman"/>
          <w:b/>
          <w:sz w:val="28"/>
          <w:szCs w:val="24"/>
          <w:lang w:eastAsia="zh-CN"/>
        </w:rPr>
      </w:r>
    </w:p>
    <w:p>
      <w:pPr>
        <w:pStyle w:val="Normal"/>
        <w:suppressAutoHyphens w:val="true"/>
        <w:snapToGrid w:val="false"/>
        <w:spacing w:lineRule="auto" w:line="240" w:before="0" w:after="0"/>
        <w:jc w:val="right"/>
        <w:rPr>
          <w:rFonts w:ascii="Times New Roman" w:hAnsi="Times New Roman" w:cs="Times New Roman"/>
          <w:b/>
          <w:b/>
          <w:sz w:val="28"/>
          <w:szCs w:val="24"/>
          <w:lang w:eastAsia="zh-CN"/>
        </w:rPr>
      </w:pPr>
      <w:r>
        <w:rPr>
          <w:rFonts w:cs="Times New Roman" w:ascii="Times New Roman" w:hAnsi="Times New Roman"/>
          <w:b/>
          <w:sz w:val="28"/>
          <w:szCs w:val="24"/>
          <w:lang w:eastAsia="zh-CN"/>
        </w:rPr>
      </w:r>
    </w:p>
    <w:tbl>
      <w:tblPr>
        <w:tblW w:w="9465" w:type="dxa"/>
        <w:jc w:val="left"/>
        <w:tblInd w:w="288" w:type="dxa"/>
        <w:tblLayout w:type="fixed"/>
        <w:tblCellMar>
          <w:top w:w="0" w:type="dxa"/>
          <w:left w:w="108" w:type="dxa"/>
          <w:bottom w:w="0" w:type="dxa"/>
          <w:right w:w="108" w:type="dxa"/>
        </w:tblCellMar>
        <w:tblLook w:val="0000"/>
      </w:tblPr>
      <w:tblGrid>
        <w:gridCol w:w="4814"/>
        <w:gridCol w:w="4650"/>
      </w:tblGrid>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ru-RU" w:eastAsia="zh-CN"/>
              </w:rPr>
            </w:pPr>
            <w:r>
              <w:rPr>
                <w:rFonts w:cs="Times New Roman" w:ascii="Times New Roman" w:hAnsi="Times New Roman"/>
                <w:b/>
                <w:bCs/>
                <w:sz w:val="28"/>
                <w:szCs w:val="28"/>
                <w:lang w:val="ru-RU" w:eastAsia="zh-CN"/>
              </w:rPr>
            </w:r>
          </w:p>
        </w:tc>
        <w:tc>
          <w:tcPr>
            <w:tcW w:w="4650" w:type="dxa"/>
            <w:tcBorders/>
            <w:shd w:color="auto" w:fill="auto" w:val="clear"/>
          </w:tcPr>
          <w:p>
            <w:pPr>
              <w:pStyle w:val="Normal"/>
              <w:widowControl w:val="false"/>
              <w:suppressAutoHyphens w:val="true"/>
              <w:overflowPunct w:val="false"/>
              <w:spacing w:lineRule="auto" w:line="240" w:before="0" w:after="0"/>
              <w:ind w:left="320" w:hanging="0"/>
              <w:rPr>
                <w:rFonts w:ascii="Liberation Serif" w:hAnsi="Liberation Serif" w:eastAsia="Tahoma" w:cs="Liberation Serif"/>
                <w:b/>
                <w:b/>
                <w:bCs/>
                <w:color w:val="00000A"/>
                <w:kern w:val="2"/>
                <w:sz w:val="18"/>
                <w:szCs w:val="18"/>
                <w:lang w:eastAsia="zh-CN"/>
              </w:rPr>
            </w:pPr>
            <w:r>
              <w:rPr>
                <w:rFonts w:eastAsia="Tahoma" w:cs="Times New Roman" w:ascii="Times New Roman" w:hAnsi="Times New Roman"/>
                <w:b/>
                <w:bCs/>
                <w:color w:val="00000A"/>
                <w:kern w:val="2"/>
                <w:sz w:val="26"/>
                <w:szCs w:val="26"/>
                <w:highlight w:val="white"/>
                <w:lang w:eastAsia="zh-CN"/>
              </w:rPr>
              <w:t>«ЗАТВЕРДЖЕНО</w:t>
            </w:r>
            <w:r>
              <w:rPr>
                <w:rFonts w:eastAsia="Tahoma" w:cs="Times New Roman" w:ascii="Times New Roman" w:hAnsi="Times New Roman"/>
                <w:b/>
                <w:bCs/>
                <w:color w:val="00000A"/>
                <w:kern w:val="2"/>
                <w:sz w:val="26"/>
                <w:szCs w:val="26"/>
                <w:lang w:eastAsia="zh-CN"/>
              </w:rPr>
              <w:t>»</w:t>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en-GB" w:eastAsia="en-US"/>
              </w:rPr>
            </w:pPr>
            <w:r>
              <w:rPr>
                <w:rFonts w:cs="Times New Roman" w:ascii="Times New Roman" w:hAnsi="Times New Roman"/>
                <w:b/>
                <w:bCs/>
                <w:sz w:val="28"/>
                <w:szCs w:val="28"/>
                <w:lang w:val="en-GB" w:eastAsia="en-US"/>
              </w:rPr>
            </w:r>
          </w:p>
        </w:tc>
        <w:tc>
          <w:tcPr>
            <w:tcW w:w="4650" w:type="dxa"/>
            <w:tcBorders/>
            <w:shd w:color="auto" w:fill="auto" w:val="clear"/>
          </w:tcPr>
          <w:p>
            <w:pPr>
              <w:pStyle w:val="Normal"/>
              <w:widowControl w:val="false"/>
              <w:suppressAutoHyphens w:val="true"/>
              <w:overflowPunct w:val="false"/>
              <w:spacing w:lineRule="auto" w:line="240" w:before="0" w:after="0"/>
              <w:ind w:left="320" w:hanging="0"/>
              <w:rPr>
                <w:rFonts w:ascii="Liberation Serif" w:hAnsi="Liberation Serif" w:eastAsia="Tahoma" w:cs="Liberation Serif"/>
                <w:b/>
                <w:b/>
                <w:bCs/>
                <w:color w:val="00000A"/>
                <w:kern w:val="2"/>
                <w:sz w:val="18"/>
                <w:szCs w:val="18"/>
                <w:lang w:eastAsia="zh-CN"/>
              </w:rPr>
            </w:pPr>
            <w:r>
              <w:rPr>
                <w:rFonts w:eastAsia="Tahoma" w:cs="Liberation Serif" w:ascii="Liberation Serif" w:hAnsi="Liberation Serif"/>
                <w:b/>
                <w:bCs/>
                <w:color w:val="00000A"/>
                <w:kern w:val="2"/>
                <w:sz w:val="18"/>
                <w:szCs w:val="18"/>
                <w:lang w:eastAsia="zh-CN"/>
              </w:rPr>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shd w:fill="00FF00" w:val="clear"/>
                <w:lang w:val="ru-RU" w:eastAsia="en-US"/>
              </w:rPr>
            </w:pPr>
            <w:r>
              <w:rPr>
                <w:rFonts w:cs="Times New Roman" w:ascii="Times New Roman" w:hAnsi="Times New Roman"/>
                <w:b/>
                <w:bCs/>
                <w:sz w:val="28"/>
                <w:szCs w:val="28"/>
                <w:shd w:fill="00FF00" w:val="clear"/>
                <w:lang w:val="ru-RU" w:eastAsia="en-US"/>
              </w:rPr>
            </w:r>
          </w:p>
        </w:tc>
        <w:tc>
          <w:tcPr>
            <w:tcW w:w="4650" w:type="dxa"/>
            <w:tcBorders/>
            <w:shd w:color="auto" w:fill="auto" w:val="clear"/>
          </w:tcPr>
          <w:p>
            <w:pPr>
              <w:pStyle w:val="Normal"/>
              <w:widowControl w:val="false"/>
              <w:suppressAutoHyphens w:val="true"/>
              <w:overflowPunct w:val="false"/>
              <w:spacing w:lineRule="auto" w:line="240" w:before="0" w:after="0"/>
              <w:ind w:left="320" w:hanging="0"/>
              <w:rPr>
                <w:rFonts w:ascii="Times New Roman" w:hAnsi="Times New Roman" w:eastAsia="Tahoma" w:cs="Times New Roman"/>
                <w:b/>
                <w:b/>
                <w:bCs/>
                <w:color w:val="00000A"/>
                <w:kern w:val="2"/>
                <w:highlight w:val="white"/>
                <w:lang w:eastAsia="zh-CN"/>
              </w:rPr>
            </w:pPr>
            <w:r>
              <w:rPr>
                <w:rFonts w:eastAsia="Tahoma" w:cs="Times New Roman" w:ascii="Times New Roman" w:hAnsi="Times New Roman"/>
                <w:b/>
                <w:bCs/>
                <w:color w:val="00000A"/>
                <w:kern w:val="2"/>
                <w:sz w:val="24"/>
                <w:szCs w:val="24"/>
                <w:highlight w:val="white"/>
                <w:lang w:eastAsia="zh-CN"/>
              </w:rPr>
              <w:t>Рішення уповноваженої особи</w:t>
            </w:r>
            <w:bookmarkStart w:id="2" w:name="_GoBack"/>
            <w:bookmarkEnd w:id="2"/>
          </w:p>
          <w:p>
            <w:pPr>
              <w:pStyle w:val="Normal"/>
              <w:widowControl w:val="false"/>
              <w:suppressAutoHyphens w:val="true"/>
              <w:overflowPunct w:val="false"/>
              <w:spacing w:lineRule="auto" w:line="240" w:before="0" w:after="0"/>
              <w:ind w:left="320" w:hanging="0"/>
              <w:rPr>
                <w:sz w:val="24"/>
                <w:szCs w:val="24"/>
              </w:rPr>
            </w:pPr>
            <w:r>
              <w:rPr>
                <w:rFonts w:eastAsia="Tahoma" w:cs="Times New Roman" w:ascii="Times New Roman" w:hAnsi="Times New Roman"/>
                <w:b/>
                <w:bCs/>
                <w:kern w:val="2"/>
                <w:sz w:val="24"/>
                <w:szCs w:val="24"/>
                <w:highlight w:val="white"/>
                <w:lang w:eastAsia="zh-CN"/>
              </w:rPr>
              <w:t>від «</w:t>
            </w:r>
            <w:r>
              <w:rPr>
                <w:rFonts w:eastAsia="Tahoma" w:cs="Times New Roman" w:ascii="Times New Roman" w:hAnsi="Times New Roman"/>
                <w:b/>
                <w:bCs/>
                <w:kern w:val="2"/>
                <w:sz w:val="24"/>
                <w:szCs w:val="24"/>
                <w:highlight w:val="white"/>
                <w:lang w:val="ru-RU" w:eastAsia="zh-CN"/>
              </w:rPr>
              <w:t>2</w:t>
            </w:r>
            <w:r>
              <w:rPr>
                <w:rFonts w:eastAsia="Tahoma" w:cs="Times New Roman" w:ascii="Times New Roman" w:hAnsi="Times New Roman"/>
                <w:b/>
                <w:bCs/>
                <w:kern w:val="2"/>
                <w:sz w:val="24"/>
                <w:szCs w:val="24"/>
                <w:highlight w:val="white"/>
                <w:lang w:val="ru-RU" w:eastAsia="zh-CN"/>
              </w:rPr>
              <w:t>2</w:t>
            </w:r>
            <w:r>
              <w:rPr>
                <w:rFonts w:eastAsia="Tahoma" w:cs="Times New Roman" w:ascii="Times New Roman" w:hAnsi="Times New Roman"/>
                <w:b/>
                <w:bCs/>
                <w:kern w:val="2"/>
                <w:sz w:val="24"/>
                <w:szCs w:val="24"/>
                <w:highlight w:val="white"/>
                <w:lang w:eastAsia="zh-CN"/>
              </w:rPr>
              <w:t>» вересня 2023 року</w:t>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ru-RU" w:eastAsia="en-US"/>
              </w:rPr>
            </w:pPr>
            <w:r>
              <w:rPr>
                <w:rFonts w:cs="Times New Roman" w:ascii="Times New Roman" w:hAnsi="Times New Roman"/>
                <w:b/>
                <w:bCs/>
                <w:sz w:val="28"/>
                <w:szCs w:val="28"/>
                <w:lang w:val="ru-RU" w:eastAsia="en-US"/>
              </w:rPr>
            </w:r>
          </w:p>
        </w:tc>
        <w:tc>
          <w:tcPr>
            <w:tcW w:w="4650" w:type="dxa"/>
            <w:tcBorders/>
            <w:shd w:color="auto" w:fill="auto" w:val="clear"/>
          </w:tcPr>
          <w:p>
            <w:pPr>
              <w:pStyle w:val="Normal"/>
              <w:widowControl w:val="false"/>
              <w:suppressAutoHyphens w:val="true"/>
              <w:overflowPunct w:val="false"/>
              <w:spacing w:lineRule="auto" w:line="240" w:before="0" w:after="0"/>
              <w:ind w:left="320" w:hanging="0"/>
              <w:rPr>
                <w:rFonts w:ascii="Times New Roman" w:hAnsi="Times New Roman" w:eastAsia="Tahoma" w:cs="Times New Roman"/>
                <w:b/>
                <w:b/>
                <w:bCs/>
                <w:color w:val="00000A"/>
                <w:kern w:val="2"/>
                <w:sz w:val="24"/>
                <w:szCs w:val="24"/>
                <w:highlight w:val="white"/>
                <w:lang w:eastAsia="zh-CN"/>
              </w:rPr>
            </w:pPr>
            <w:r>
              <w:rPr>
                <w:rFonts w:eastAsia="Tahoma" w:cs="Times New Roman" w:ascii="Times New Roman" w:hAnsi="Times New Roman"/>
                <w:b/>
                <w:bCs/>
                <w:color w:val="00000A"/>
                <w:kern w:val="2"/>
                <w:sz w:val="24"/>
                <w:szCs w:val="24"/>
                <w:highlight w:val="white"/>
                <w:lang w:eastAsia="zh-CN"/>
              </w:rPr>
            </w:r>
          </w:p>
          <w:p>
            <w:pPr>
              <w:pStyle w:val="Normal"/>
              <w:widowControl w:val="false"/>
              <w:suppressAutoHyphens w:val="true"/>
              <w:overflowPunct w:val="false"/>
              <w:spacing w:lineRule="auto" w:line="240" w:before="0" w:after="0"/>
              <w:ind w:left="320" w:hanging="0"/>
              <w:rPr>
                <w:sz w:val="24"/>
                <w:szCs w:val="24"/>
              </w:rPr>
            </w:pPr>
            <w:r>
              <w:rPr>
                <w:rFonts w:eastAsia="Tahoma" w:cs="Times New Roman" w:ascii="Times New Roman" w:hAnsi="Times New Roman"/>
                <w:b/>
                <w:bCs/>
                <w:color w:val="00000A"/>
                <w:kern w:val="2"/>
                <w:sz w:val="24"/>
                <w:szCs w:val="24"/>
                <w:lang w:eastAsia="zh-CN"/>
              </w:rPr>
              <w:t xml:space="preserve">_____________ </w:t>
            </w:r>
            <w:r>
              <w:rPr>
                <w:rFonts w:eastAsia="Tahoma" w:cs="Liberation Serif" w:ascii="Liberation Serif" w:hAnsi="Liberation Serif"/>
                <w:b/>
                <w:bCs/>
                <w:color w:val="00000A"/>
                <w:kern w:val="2"/>
                <w:sz w:val="24"/>
                <w:szCs w:val="24"/>
                <w:lang w:eastAsia="zh-CN"/>
              </w:rPr>
              <w:t>Віталіна ЛИТВИНЮК</w:t>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ru-RU" w:eastAsia="en-US"/>
              </w:rPr>
            </w:pPr>
            <w:r>
              <w:rPr>
                <w:rFonts w:cs="Times New Roman" w:ascii="Times New Roman" w:hAnsi="Times New Roman"/>
                <w:b/>
                <w:bCs/>
                <w:sz w:val="28"/>
                <w:szCs w:val="28"/>
                <w:lang w:val="ru-RU" w:eastAsia="en-US"/>
              </w:rPr>
            </w:r>
          </w:p>
        </w:tc>
        <w:tc>
          <w:tcPr>
            <w:tcW w:w="4650" w:type="dxa"/>
            <w:tcBorders/>
            <w:shd w:color="auto" w:fill="auto" w:val="clear"/>
          </w:tcPr>
          <w:p>
            <w:pPr>
              <w:pStyle w:val="Normal"/>
              <w:widowControl w:val="false"/>
              <w:suppressAutoHyphens w:val="true"/>
              <w:snapToGrid w:val="false"/>
              <w:spacing w:lineRule="auto" w:line="240" w:before="0" w:after="0"/>
              <w:rPr>
                <w:sz w:val="20"/>
                <w:szCs w:val="20"/>
                <w:lang w:eastAsia="zh-CN"/>
              </w:rPr>
            </w:pPr>
            <w:r>
              <w:rPr>
                <w:sz w:val="20"/>
                <w:szCs w:val="20"/>
                <w:lang w:eastAsia="zh-CN"/>
              </w:rPr>
            </w:r>
          </w:p>
        </w:tc>
      </w:tr>
    </w:tbl>
    <w:p>
      <w:pPr>
        <w:pStyle w:val="Normal"/>
        <w:widowControl w:val="false"/>
        <w:suppressAutoHyphens w:val="true"/>
        <w:snapToGrid w:val="false"/>
        <w:spacing w:lineRule="auto" w:line="240" w:before="0" w:after="0"/>
        <w:jc w:val="right"/>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napToGrid w:val="false"/>
        <w:spacing w:lineRule="auto" w:line="240" w:before="0" w:after="0"/>
        <w:ind w:right="5584" w:hanging="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tLeast" w:line="0" w:before="120" w:after="0"/>
        <w:jc w:val="center"/>
        <w:rPr>
          <w:rFonts w:ascii="Times New Roman" w:hAnsi="Times New Roman" w:eastAsia="Times New Roman" w:cs="Times New Roman"/>
          <w:b/>
          <w:b/>
          <w:sz w:val="28"/>
          <w:szCs w:val="28"/>
        </w:rPr>
      </w:pPr>
      <w:r>
        <w:rPr>
          <w:rFonts w:eastAsia="Times New Roman" w:cs="Times New Roman" w:ascii="Times New Roman" w:hAnsi="Times New Roman"/>
          <w:b/>
          <w:bCs/>
          <w:kern w:val="2"/>
          <w:sz w:val="28"/>
          <w:szCs w:val="28"/>
          <w:lang w:eastAsia="zh-CN" w:bidi="hi-IN"/>
        </w:rPr>
        <w:t>ТЕНДЕРНА ДОКУМЕНТАЦІЯ</w:t>
      </w:r>
    </w:p>
    <w:p>
      <w:pPr>
        <w:pStyle w:val="Normal"/>
        <w:spacing w:lineRule="atLeast" w:line="0" w:before="12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widowControl w:val="false"/>
        <w:suppressAutoHyphens w:val="true"/>
        <w:spacing w:lineRule="atLeast" w:line="0" w:before="0" w:after="0"/>
        <w:jc w:val="center"/>
        <w:textAlignment w:val="baseline"/>
        <w:rPr>
          <w:rFonts w:ascii="Times New Roman" w:hAnsi="Times New Roman" w:eastAsia="Times New Roman" w:cs="Times New Roman"/>
          <w:b/>
          <w:b/>
          <w:bCs/>
          <w:kern w:val="2"/>
          <w:sz w:val="28"/>
          <w:szCs w:val="28"/>
          <w:lang w:eastAsia="zh-CN" w:bidi="hi-IN"/>
        </w:rPr>
      </w:pPr>
      <w:r>
        <w:rPr>
          <w:rFonts w:eastAsia="Times New Roman" w:cs="Times New Roman" w:ascii="Times New Roman" w:hAnsi="Times New Roman"/>
          <w:b/>
          <w:bCs/>
          <w:kern w:val="2"/>
          <w:sz w:val="28"/>
          <w:szCs w:val="28"/>
          <w:lang w:eastAsia="zh-CN" w:bidi="hi-IN"/>
        </w:rPr>
      </w:r>
    </w:p>
    <w:p>
      <w:pPr>
        <w:pStyle w:val="Rvps2"/>
        <w:spacing w:lineRule="auto" w:line="360" w:before="280" w:afterAutospacing="0" w:after="0"/>
        <w:ind w:firstLine="539"/>
        <w:jc w:val="center"/>
        <w:rPr>
          <w:b/>
          <w:b/>
          <w:bCs/>
          <w:sz w:val="28"/>
          <w:szCs w:val="28"/>
        </w:rPr>
      </w:pPr>
      <w:r>
        <w:rPr>
          <w:b/>
          <w:bCs/>
          <w:kern w:val="2"/>
          <w:sz w:val="28"/>
          <w:szCs w:val="28"/>
          <w:lang w:eastAsia="zh-CN" w:bidi="hi-IN"/>
        </w:rPr>
        <w:t xml:space="preserve">на закупівлю </w:t>
      </w:r>
      <w:r>
        <w:rPr>
          <w:b/>
          <w:bCs/>
          <w:sz w:val="28"/>
          <w:szCs w:val="28"/>
        </w:rPr>
        <w:t xml:space="preserve">товару  </w:t>
      </w:r>
    </w:p>
    <w:p>
      <w:pPr>
        <w:pStyle w:val="Rvps2"/>
        <w:spacing w:before="280" w:afterAutospacing="0" w:after="0"/>
        <w:ind w:firstLine="539"/>
        <w:jc w:val="center"/>
        <w:rPr>
          <w:rStyle w:val="Qaclassifierdk"/>
          <w:b/>
          <w:b/>
          <w:kern w:val="2"/>
          <w:sz w:val="28"/>
          <w:szCs w:val="28"/>
          <w:lang w:eastAsia="zh-CN" w:bidi="hi-IN"/>
        </w:rPr>
      </w:pPr>
      <w:r>
        <w:rPr>
          <w:b/>
          <w:bCs/>
          <w:sz w:val="28"/>
          <w:szCs w:val="28"/>
        </w:rPr>
        <w:t>"</w:t>
      </w:r>
      <w:r>
        <w:rPr>
          <w:rStyle w:val="Qaclassifierdk"/>
          <w:b/>
          <w:kern w:val="2"/>
          <w:sz w:val="28"/>
          <w:szCs w:val="28"/>
          <w:lang w:eastAsia="zh-CN" w:bidi="hi-IN"/>
        </w:rPr>
        <w:t xml:space="preserve">Дихальні апарати на стисненому повітрі Drаger PSS 4000 </w:t>
      </w:r>
    </w:p>
    <w:p>
      <w:pPr>
        <w:pStyle w:val="Rvps2"/>
        <w:spacing w:before="280" w:afterAutospacing="0" w:after="0"/>
        <w:ind w:firstLine="539"/>
        <w:jc w:val="center"/>
        <w:rPr>
          <w:rStyle w:val="Qaclassifierdk"/>
          <w:b/>
          <w:b/>
          <w:kern w:val="2"/>
          <w:sz w:val="28"/>
          <w:szCs w:val="28"/>
          <w:lang w:eastAsia="zh-CN" w:bidi="hi-IN"/>
        </w:rPr>
      </w:pPr>
      <w:r>
        <w:rPr>
          <w:rStyle w:val="Qaclassifierdk"/>
          <w:b/>
          <w:kern w:val="2"/>
          <w:sz w:val="28"/>
          <w:szCs w:val="28"/>
          <w:lang w:eastAsia="zh-CN" w:bidi="hi-IN"/>
        </w:rPr>
        <w:t xml:space="preserve">у комплекті» </w:t>
      </w:r>
    </w:p>
    <w:p>
      <w:pPr>
        <w:pStyle w:val="Rvps2"/>
        <w:spacing w:lineRule="auto" w:line="360" w:before="280" w:afterAutospacing="0" w:after="0"/>
        <w:ind w:firstLine="539"/>
        <w:jc w:val="center"/>
        <w:rPr>
          <w:b/>
          <w:b/>
          <w:bCs/>
          <w:kern w:val="2"/>
          <w:sz w:val="28"/>
          <w:szCs w:val="28"/>
          <w:lang w:eastAsia="zh-CN" w:bidi="hi-IN"/>
        </w:rPr>
      </w:pPr>
      <w:r>
        <w:rPr>
          <w:b/>
          <w:bCs/>
          <w:kern w:val="2"/>
          <w:sz w:val="28"/>
          <w:szCs w:val="28"/>
          <w:lang w:eastAsia="zh-CN" w:bidi="hi-IN"/>
        </w:rPr>
        <w:t>за ДК 021:2015 «Єдиний закупівельний словник»</w:t>
      </w:r>
    </w:p>
    <w:p>
      <w:pPr>
        <w:pStyle w:val="Rvps2"/>
        <w:spacing w:lineRule="auto" w:line="360" w:before="280" w:afterAutospacing="0" w:after="0"/>
        <w:ind w:firstLine="539"/>
        <w:jc w:val="center"/>
        <w:rPr>
          <w:b/>
          <w:b/>
          <w:bCs/>
          <w:kern w:val="2"/>
          <w:sz w:val="28"/>
          <w:szCs w:val="28"/>
          <w:lang w:eastAsia="zh-CN" w:bidi="hi-IN"/>
        </w:rPr>
      </w:pPr>
      <w:r>
        <w:rPr>
          <w:b/>
          <w:bCs/>
          <w:sz w:val="28"/>
          <w:szCs w:val="28"/>
          <w:shd w:fill="FFFFFF" w:val="clear"/>
        </w:rPr>
        <w:t>44611200-8</w:t>
      </w:r>
      <w:r>
        <w:rPr>
          <w:b/>
          <w:sz w:val="28"/>
          <w:szCs w:val="28"/>
          <w:shd w:fill="FFFFFF" w:val="clear"/>
        </w:rPr>
        <w:t> – «Дихальні апарати»</w:t>
      </w:r>
    </w:p>
    <w:p>
      <w:pPr>
        <w:pStyle w:val="Normal"/>
        <w:spacing w:lineRule="atLeast" w:line="0"/>
        <w:jc w:val="center"/>
        <w:rPr>
          <w:rFonts w:ascii="Times New Roman" w:hAnsi="Times New Roman" w:cs="Times New Roman"/>
          <w:b/>
          <w:b/>
          <w:bCs/>
          <w:caps/>
          <w:sz w:val="28"/>
          <w:szCs w:val="28"/>
          <w:lang w:val="ru-RU"/>
        </w:rPr>
      </w:pPr>
      <w:r>
        <w:rPr>
          <w:rFonts w:cs="Times New Roman" w:ascii="Times New Roman" w:hAnsi="Times New Roman"/>
          <w:b/>
          <w:bCs/>
          <w:caps/>
          <w:sz w:val="28"/>
          <w:szCs w:val="28"/>
          <w:lang w:val="ru-RU"/>
        </w:rPr>
      </w:r>
    </w:p>
    <w:p>
      <w:pPr>
        <w:pStyle w:val="Normal"/>
        <w:tabs>
          <w:tab w:val="clear" w:pos="720"/>
          <w:tab w:val="left" w:pos="142" w:leader="none"/>
        </w:tabs>
        <w:suppressAutoHyphens w:val="true"/>
        <w:spacing w:lineRule="atLeast" w:line="0" w:before="28" w:after="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p>
      <w:pPr>
        <w:pStyle w:val="Normal"/>
        <w:suppressAutoHyphens w:val="true"/>
        <w:spacing w:lineRule="auto" w:line="240" w:before="0" w:after="0"/>
        <w:jc w:val="center"/>
        <w:rPr>
          <w:rFonts w:ascii="Times New Roman" w:hAnsi="Times New Roman" w:cs="Times New Roman"/>
          <w:b/>
          <w:b/>
          <w:bCs/>
          <w:caps/>
          <w:sz w:val="32"/>
          <w:szCs w:val="32"/>
          <w:lang w:val="ru-RU" w:eastAsia="zh-CN"/>
        </w:rPr>
      </w:pPr>
      <w:r>
        <w:rPr>
          <w:rFonts w:cs="Times New Roman" w:ascii="Times New Roman" w:hAnsi="Times New Roman"/>
          <w:b/>
          <w:bCs/>
          <w:caps/>
          <w:sz w:val="32"/>
          <w:szCs w:val="32"/>
          <w:lang w:val="ru-RU" w:eastAsia="zh-CN"/>
        </w:rPr>
      </w:r>
    </w:p>
    <w:p>
      <w:pPr>
        <w:pStyle w:val="Normal"/>
        <w:suppressAutoHyphens w:val="true"/>
        <w:spacing w:lineRule="auto" w:line="240" w:before="0" w:after="0"/>
        <w:rPr>
          <w:rFonts w:ascii="Times New Roman" w:hAnsi="Times New Roman" w:cs="Times New Roman"/>
          <w:b/>
          <w:b/>
          <w:bCs/>
          <w:sz w:val="32"/>
          <w:szCs w:val="32"/>
          <w:lang w:eastAsia="zh-CN"/>
        </w:rPr>
      </w:pPr>
      <w:r>
        <w:rPr>
          <w:rFonts w:cs="Times New Roman" w:ascii="Times New Roman" w:hAnsi="Times New Roman"/>
          <w:b/>
          <w:bCs/>
          <w:sz w:val="32"/>
          <w:szCs w:val="32"/>
          <w:lang w:eastAsia="zh-CN"/>
        </w:rPr>
      </w:r>
    </w:p>
    <w:p>
      <w:pPr>
        <w:pStyle w:val="Normal"/>
        <w:suppressAutoHyphens w:val="true"/>
        <w:spacing w:lineRule="auto" w:line="240" w:before="0" w:after="0"/>
        <w:rPr>
          <w:rFonts w:ascii="Times New Roman" w:hAnsi="Times New Roman" w:cs="Times New Roman"/>
          <w:b/>
          <w:b/>
          <w:bCs/>
          <w:sz w:val="32"/>
          <w:szCs w:val="32"/>
          <w:lang w:val="ru-RU" w:eastAsia="zh-CN"/>
        </w:rPr>
      </w:pPr>
      <w:r>
        <w:rPr>
          <w:rFonts w:cs="Times New Roman" w:ascii="Times New Roman" w:hAnsi="Times New Roman"/>
          <w:b/>
          <w:bCs/>
          <w:sz w:val="32"/>
          <w:szCs w:val="32"/>
          <w:lang w:val="ru-RU" w:eastAsia="zh-CN"/>
        </w:rPr>
      </w:r>
    </w:p>
    <w:p>
      <w:pPr>
        <w:pStyle w:val="Normal"/>
        <w:suppressAutoHyphens w:val="true"/>
        <w:spacing w:lineRule="auto" w:line="240" w:before="0" w:after="0"/>
        <w:rPr>
          <w:sz w:val="20"/>
          <w:szCs w:val="20"/>
          <w:lang w:eastAsia="zh-CN"/>
        </w:rPr>
      </w:pPr>
      <w:r>
        <w:rPr>
          <w:sz w:val="20"/>
          <w:szCs w:val="20"/>
          <w:lang w:eastAsia="zh-CN"/>
        </w:rPr>
      </w:r>
    </w:p>
    <w:p>
      <w:pPr>
        <w:pStyle w:val="Normal"/>
        <w:suppressAutoHyphens w:val="true"/>
        <w:spacing w:lineRule="auto" w:line="240" w:before="0" w:after="0"/>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r>
    </w:p>
    <w:p>
      <w:pPr>
        <w:pStyle w:val="Normal"/>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r>
    </w:p>
    <w:p>
      <w:pPr>
        <w:pStyle w:val="Normal"/>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t>Сторожинець</w:t>
      </w:r>
    </w:p>
    <w:p>
      <w:pPr>
        <w:sectPr>
          <w:headerReference w:type="default" r:id="rId2"/>
          <w:footerReference w:type="default" r:id="rId3"/>
          <w:type w:val="nextPage"/>
          <w:pgSz w:w="11906" w:h="16838"/>
          <w:pgMar w:left="1417" w:right="850" w:gutter="0" w:header="708" w:top="850" w:footer="708" w:bottom="765"/>
          <w:pgNumType w:start="1" w:fmt="decimal"/>
          <w:formProt w:val="false"/>
          <w:textDirection w:val="lrTb"/>
          <w:docGrid w:type="default" w:linePitch="100" w:charSpace="4096"/>
        </w:sectPr>
        <w:pStyle w:val="Normal"/>
        <w:suppressAutoHyphens w:val="true"/>
        <w:spacing w:lineRule="auto" w:line="240" w:before="0" w:after="0"/>
        <w:jc w:val="center"/>
        <w:rPr>
          <w:sz w:val="24"/>
          <w:szCs w:val="24"/>
          <w:lang w:eastAsia="zh-CN"/>
        </w:rPr>
      </w:pPr>
      <w:r>
        <w:rPr>
          <w:rFonts w:cs="Times New Roman" w:ascii="Times New Roman" w:hAnsi="Times New Roman"/>
          <w:bCs/>
          <w:sz w:val="24"/>
          <w:szCs w:val="24"/>
          <w:lang w:eastAsia="zh-CN"/>
        </w:rPr>
        <w:t>м.  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11039" w:type="dxa"/>
        <w:jc w:val="center"/>
        <w:tblInd w:w="0" w:type="dxa"/>
        <w:tblLayout w:type="fixed"/>
        <w:tblCellMar>
          <w:top w:w="0" w:type="dxa"/>
          <w:left w:w="108" w:type="dxa"/>
          <w:bottom w:w="0" w:type="dxa"/>
          <w:right w:w="108" w:type="dxa"/>
        </w:tblCellMar>
        <w:tblLook w:val="0400"/>
      </w:tblPr>
      <w:tblGrid>
        <w:gridCol w:w="510"/>
        <w:gridCol w:w="3955"/>
        <w:gridCol w:w="6574"/>
      </w:tblGrid>
      <w:tr>
        <w:trPr>
          <w:trHeight w:val="416"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05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314"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b/>
                <w:bCs/>
                <w:sz w:val="24"/>
                <w:szCs w:val="24"/>
              </w:rPr>
              <w:t xml:space="preserve">3 державний пожежно-рятувальний загін Головного управління державної служби України з надзвичайних ситуацій у Чернівецькій області </w:t>
            </w:r>
            <w:r>
              <w:rPr>
                <w:rFonts w:ascii="Times New Roman" w:hAnsi="Times New Roman"/>
                <w:bCs/>
                <w:sz w:val="24"/>
                <w:szCs w:val="24"/>
              </w:rPr>
              <w:t xml:space="preserve"> (надалі- Замовник)</w:t>
            </w:r>
          </w:p>
        </w:tc>
      </w:tr>
      <w:tr>
        <w:trPr>
          <w:trHeight w:val="53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59000 , Чернівецька область. м. Сторожинець, вул. Назарія Яремчука,36</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Литвинюк Віталіна Сергіївна, </w:t>
            </w:r>
            <w:r>
              <w:rPr>
                <w:rFonts w:eastAsia="Times New Roman" w:ascii="Times New Roman" w:hAnsi="Times New Roman"/>
                <w:sz w:val="24"/>
                <w:szCs w:val="24"/>
                <w:lang w:eastAsia="ru-RU"/>
              </w:rPr>
              <w:t>уповноважена особа;</w:t>
            </w:r>
          </w:p>
          <w:p>
            <w:pPr>
              <w:pStyle w:val="Normal"/>
              <w:widowControl w:val="false"/>
              <w:rPr>
                <w:rFonts w:ascii="Times New Roman" w:hAnsi="Times New Roman" w:eastAsia="Times New Roman"/>
                <w:b/>
                <w:b/>
                <w:sz w:val="24"/>
                <w:szCs w:val="24"/>
                <w:lang w:val="en-US" w:eastAsia="ru-RU"/>
              </w:rPr>
            </w:pPr>
            <w:r>
              <w:rPr>
                <w:rFonts w:eastAsia="Times New Roman" w:ascii="Times New Roman" w:hAnsi="Times New Roman"/>
                <w:b/>
                <w:bCs/>
                <w:sz w:val="24"/>
                <w:szCs w:val="24"/>
                <w:lang w:eastAsia="ru-RU"/>
              </w:rPr>
              <w:t xml:space="preserve">e-mail:  </w:t>
            </w:r>
            <w:hyperlink r:id="rId4">
              <w:r>
                <w:rPr>
                  <w:rStyle w:val="Style8"/>
                  <w:rFonts w:eastAsia="Times New Roman" w:ascii="Times New Roman" w:hAnsi="Times New Roman"/>
                  <w:b/>
                  <w:bCs/>
                  <w:sz w:val="24"/>
                  <w:szCs w:val="24"/>
                  <w:lang w:val="en-US" w:eastAsia="ru-RU"/>
                </w:rPr>
                <w:t>vitalina9848@ukr.net</w:t>
              </w:r>
            </w:hyperlink>
            <w:r>
              <w:rPr>
                <w:rFonts w:eastAsia="Times New Roman" w:ascii="Times New Roman" w:hAnsi="Times New Roman"/>
                <w:b/>
                <w:bCs/>
                <w:sz w:val="24"/>
                <w:szCs w:val="24"/>
                <w:lang w:val="en-US" w:eastAsia="ru-RU"/>
              </w:rPr>
              <w:t xml:space="preserve"> </w:t>
            </w:r>
            <w:r>
              <w:rPr>
                <w:rFonts w:eastAsia="Times New Roman" w:ascii="Times New Roman" w:hAnsi="Times New Roman"/>
                <w:b/>
                <w:sz w:val="24"/>
                <w:szCs w:val="24"/>
                <w:lang w:eastAsia="ru-RU"/>
              </w:rPr>
              <w:t>,</w:t>
            </w:r>
          </w:p>
          <w:p>
            <w:pPr>
              <w:pStyle w:val="Normal"/>
              <w:widowControl w:val="false"/>
              <w:spacing w:before="0" w:after="16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моб. +380959256639</w:t>
            </w:r>
          </w:p>
        </w:tc>
      </w:tr>
      <w:tr>
        <w:trPr>
          <w:trHeight w:val="1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tcPr>
          <w:p>
            <w:pPr>
              <w:pStyle w:val="Rvps2"/>
              <w:widowControl w:val="false"/>
              <w:spacing w:lineRule="atLeast" w:line="0" w:before="0" w:afterAutospacing="0" w:after="0"/>
              <w:rPr>
                <w:rStyle w:val="Qaclassifierdk"/>
                <w:kern w:val="2"/>
                <w:lang w:eastAsia="zh-CN" w:bidi="hi-IN"/>
              </w:rPr>
            </w:pPr>
            <w:r>
              <w:rPr>
                <w:bCs/>
              </w:rPr>
              <w:t>«</w:t>
            </w:r>
            <w:r>
              <w:rPr>
                <w:rStyle w:val="Qaclassifierdk"/>
                <w:kern w:val="2"/>
                <w:lang w:eastAsia="zh-CN" w:bidi="hi-IN"/>
              </w:rPr>
              <w:t>Дихальні апарати на стисненому повітрі Drаger PSS 4000 у комплекті»</w:t>
            </w:r>
          </w:p>
          <w:p>
            <w:pPr>
              <w:pStyle w:val="Rvps2"/>
              <w:widowControl w:val="false"/>
              <w:spacing w:lineRule="atLeast" w:line="0" w:before="0" w:afterAutospacing="0" w:after="0"/>
              <w:rPr>
                <w:b/>
                <w:b/>
                <w:bCs/>
              </w:rPr>
            </w:pPr>
            <w:r>
              <w:rPr>
                <w:b/>
                <w:bCs/>
                <w:kern w:val="2"/>
                <w:lang w:eastAsia="zh-CN" w:bidi="hi-IN"/>
              </w:rPr>
              <w:t>ДК 021:2015:</w:t>
            </w:r>
            <w:r>
              <w:rPr>
                <w:b/>
                <w:bCs/>
                <w:shd w:fill="FFFFFF" w:val="clear"/>
              </w:rPr>
              <w:t>44611200-8  «Дихальні апарати»</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 його поставки</w:t>
            </w:r>
          </w:p>
        </w:tc>
        <w:tc>
          <w:tcPr>
            <w:tcW w:w="6574"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jc w:val="both"/>
              <w:rPr/>
            </w:pPr>
            <w:r>
              <w:rPr/>
              <w:t>Місце поставки: Україна, 59000, Чернівецька область,                     м. Cторожинець,   вул. Назарія Яремчука,36</w:t>
            </w:r>
          </w:p>
          <w:p>
            <w:pPr>
              <w:pStyle w:val="Rvps2"/>
              <w:widowControl w:val="false"/>
              <w:spacing w:before="0" w:after="0"/>
              <w:jc w:val="both"/>
              <w:rPr>
                <w:i/>
                <w:i/>
                <w:color w:val="4A86E8"/>
                <w:highlight w:val="white"/>
              </w:rPr>
            </w:pPr>
            <w:r>
              <w:rPr/>
              <w:t>Кількість товару: 8 комплектів</w:t>
            </w:r>
          </w:p>
        </w:tc>
      </w:tr>
      <w:tr>
        <w:trPr>
          <w:trHeight w:val="86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160"/>
              <w:jc w:val="both"/>
              <w:rPr>
                <w:rFonts w:ascii="Times New Roman" w:hAnsi="Times New Roman"/>
                <w:color w:val="00000A"/>
                <w:sz w:val="24"/>
                <w:szCs w:val="24"/>
                <w:lang w:eastAsia="ru-RU"/>
              </w:rPr>
            </w:pPr>
            <w:r>
              <w:rPr>
                <w:rFonts w:eastAsia="Times New Roman" w:cs="Times New Roman" w:ascii="Times New Roman" w:hAnsi="Times New Roman"/>
                <w:sz w:val="24"/>
                <w:szCs w:val="24"/>
              </w:rPr>
              <w:t>до 31</w:t>
            </w:r>
            <w:r>
              <w:rPr>
                <w:rFonts w:eastAsia="Times New Roman" w:cs="Times New Roman" w:ascii="Times New Roman" w:hAnsi="Times New Roman"/>
                <w:color w:val="FF0000"/>
                <w:sz w:val="24"/>
                <w:szCs w:val="24"/>
              </w:rPr>
              <w:t xml:space="preserve"> грудня</w:t>
            </w:r>
            <w:r>
              <w:rPr>
                <w:rFonts w:eastAsia="Times New Roman" w:cs="Times New Roman" w:ascii="Times New Roman" w:hAnsi="Times New Roman"/>
                <w:sz w:val="24"/>
                <w:szCs w:val="24"/>
              </w:rPr>
              <w:t xml:space="preserve"> 2023 року</w:t>
            </w:r>
            <w:r>
              <w:rPr>
                <w:rFonts w:eastAsia="Times New Roman" w:cs="Times New Roman" w:ascii="Times New Roman" w:hAnsi="Times New Roman"/>
                <w:color w:val="FF0000"/>
                <w:sz w:val="24"/>
                <w:szCs w:val="24"/>
              </w:rPr>
              <w:t xml:space="preserve"> включно.  </w:t>
            </w:r>
            <w:r>
              <w:rPr>
                <w:rFonts w:ascii="Times New Roman" w:hAnsi="Times New Roman"/>
                <w:color w:val="00000A"/>
                <w:sz w:val="24"/>
                <w:szCs w:val="24"/>
                <w:lang w:eastAsia="ru-RU"/>
              </w:rPr>
              <w:t>Допускається дострокова поставка Продукції, про що Продавець повинен повідомити Замовника письмово за три робочих дні.</w:t>
            </w:r>
          </w:p>
        </w:tc>
      </w:tr>
      <w:tr>
        <w:trPr>
          <w:trHeight w:val="841"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Валютою тендерної пропозиції є гривня.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73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color w:val="00B050"/>
                <w:sz w:val="24"/>
                <w:szCs w:val="24"/>
                <w:highlight w:val="white"/>
              </w:rPr>
              <w:t>а саме в оголошенні про проведення відкритих торгів,</w:t>
            </w:r>
            <w:r>
              <w:rPr>
                <w:rFonts w:eastAsia="Times New Roman" w:cs="Times New Roman" w:ascii="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w:t>
            </w:r>
            <w:r>
              <w:rPr>
                <w:rFonts w:eastAsia="Times New Roman" w:cs="Times New Roman" w:ascii="Times New Roman" w:hAnsi="Times New Roman"/>
                <w:color w:val="00B050"/>
                <w:sz w:val="24"/>
                <w:szCs w:val="24"/>
              </w:rPr>
              <w:t>47</w:t>
            </w:r>
            <w:r>
              <w:rPr>
                <w:rFonts w:eastAsia="Times New Roman" w:cs="Times New Roman" w:ascii="Times New Roman" w:hAnsi="Times New Roman"/>
                <w:sz w:val="24"/>
                <w:szCs w:val="24"/>
              </w:rPr>
              <w:t xml:space="preserve">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color w:val="00B050"/>
              </w:rPr>
              <w:instrText xml:space="preserve"> HYPERLINK "https://zakon.rada.gov.ua/laws/show/1178-2022-п" \l "n159"</w:instrText>
            </w:r>
            <w:r>
              <w:rPr>
                <w:sz w:val="24"/>
                <w:szCs w:val="24"/>
                <w:rFonts w:eastAsia="Times New Roman" w:cs="Times New Roman" w:ascii="Times New Roman" w:hAnsi="Times New Roman"/>
                <w:color w:val="00B050"/>
              </w:rPr>
              <w:fldChar w:fldCharType="separate"/>
            </w:r>
            <w:r>
              <w:rPr>
                <w:rFonts w:eastAsia="Times New Roman" w:cs="Times New Roman" w:ascii="Times New Roman" w:hAnsi="Times New Roman"/>
                <w:color w:val="00B050"/>
                <w:sz w:val="24"/>
                <w:szCs w:val="24"/>
              </w:rPr>
              <w:t>47</w:t>
            </w:r>
            <w:r>
              <w:rPr>
                <w:sz w:val="24"/>
                <w:szCs w:val="24"/>
                <w:rFonts w:eastAsia="Times New Roman" w:cs="Times New Roman" w:ascii="Times New Roman" w:hAnsi="Times New Roman"/>
                <w:color w:val="00B050"/>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Pr>
                <w:rFonts w:eastAsia="Times New Roman" w:cs="Times New Roman" w:ascii="Times New Roman" w:hAnsi="Times New Roman"/>
                <w:b/>
                <w:sz w:val="24"/>
                <w:szCs w:val="24"/>
              </w:rPr>
              <w:t xml:space="preserve">Додатку2 </w:t>
            </w:r>
            <w:r>
              <w:rPr>
                <w:rFonts w:eastAsia="Times New Roman" w:cs="Times New Roman" w:ascii="Times New Roman" w:hAnsi="Times New Roman"/>
                <w:sz w:val="24"/>
                <w:szCs w:val="24"/>
              </w:rPr>
              <w:t>;</w:t>
            </w:r>
          </w:p>
          <w:p>
            <w:pPr>
              <w:pStyle w:val="Normal"/>
              <w:widowControl w:val="false"/>
              <w:ind w:left="737" w:hanging="425"/>
              <w:jc w:val="both"/>
              <w:rPr/>
            </w:pPr>
            <w:r>
              <w:rPr>
                <w:rFonts w:eastAsia="Times New Roman" w:cs="Times New Roman" w:ascii="Times New Roman" w:hAnsi="Times New Roman"/>
                <w:color w:val="000000"/>
                <w:sz w:val="24"/>
                <w:szCs w:val="24"/>
              </w:rPr>
              <w:t xml:space="preserve">- у разі погодження із наведеними у </w:t>
            </w:r>
            <w:r>
              <w:rPr>
                <w:rFonts w:eastAsia="Times New Roman" w:cs="Times New Roman" w:ascii="Times New Roman" w:hAnsi="Times New Roman"/>
                <w:b/>
                <w:color w:val="000000"/>
                <w:sz w:val="24"/>
                <w:szCs w:val="24"/>
              </w:rPr>
              <w:t>Додатку 3</w:t>
            </w:r>
            <w:r>
              <w:rPr>
                <w:rFonts w:eastAsia="Times New Roman" w:cs="Times New Roman" w:ascii="Times New Roman" w:hAnsi="Times New Roman"/>
                <w:color w:val="000000"/>
                <w:sz w:val="24"/>
                <w:szCs w:val="24"/>
              </w:rPr>
              <w:t xml:space="preserve"> основними умовами договору учасник подає в складі комерційної частини лист-підтвердження  (</w:t>
            </w:r>
            <w:r>
              <w:rPr>
                <w:rFonts w:eastAsia="Times New Roman" w:cs="Times New Roman" w:ascii="Times New Roman" w:hAnsi="Times New Roman"/>
                <w:b/>
                <w:color w:val="000000"/>
                <w:sz w:val="24"/>
                <w:szCs w:val="24"/>
              </w:rPr>
              <w:t>Додаток 5</w:t>
            </w:r>
            <w:r>
              <w:rPr>
                <w:rFonts w:eastAsia="Times New Roman" w:cs="Times New Roman" w:ascii="Times New Roman" w:hAnsi="Times New Roman"/>
                <w:color w:val="00000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 Document 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502"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818"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highlight w:val="white"/>
              </w:rPr>
              <w:t xml:space="preserve">47 </w:t>
            </w:r>
            <w:r>
              <w:rPr>
                <w:rFonts w:eastAsia="Times New Roman" w:cs="Times New Roman" w:ascii="Times New Roman" w:hAnsi="Times New Roman"/>
                <w:b/>
                <w:sz w:val="24"/>
                <w:szCs w:val="24"/>
              </w:rPr>
              <w:t>Особливостей</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 xml:space="preserve">Додатку 1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color w:val="00B050"/>
                <w:sz w:val="24"/>
                <w:szCs w:val="24"/>
                <w:highlight w:val="white"/>
              </w:rPr>
              <w:t>47</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B050"/>
                <w:sz w:val="24"/>
                <w:szCs w:val="24"/>
                <w:highlight w:val="white"/>
              </w:rPr>
              <w:t>нею</w:t>
            </w:r>
            <w:r>
              <w:rPr>
                <w:rFonts w:eastAsia="Times New Roman" w:cs="Times New Roman" w:ascii="Times New Roman" w:hAnsi="Times New Roman"/>
                <w:sz w:val="24"/>
                <w:szCs w:val="24"/>
                <w:highlight w:val="white"/>
              </w:rPr>
              <w:t xml:space="preserve">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із</w:t>
            </w:r>
            <w:r>
              <w:rPr>
                <w:rFonts w:eastAsia="Times New Roman" w:cs="Times New Roman" w:ascii="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B050"/>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5">
              <w:r>
                <w:rPr>
                  <w:rFonts w:eastAsia="Times New Roman" w:cs="Times New Roman" w:ascii="Times New Roman" w:hAnsi="Times New Roman"/>
                  <w:sz w:val="24"/>
                  <w:szCs w:val="24"/>
                </w:rPr>
                <w:t xml:space="preserve"> пунктом третім </w:t>
              </w:r>
            </w:hyperlink>
            <w:hyperlink r:id="rId6">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 xml:space="preserve">Додатку 2 </w:t>
            </w:r>
            <w:r>
              <w:rPr>
                <w:rFonts w:eastAsia="Times New Roman" w:cs="Times New Roman" w:ascii="Times New Roman" w:hAnsi="Times New Roman"/>
                <w:sz w:val="24"/>
                <w:szCs w:val="24"/>
              </w:rPr>
              <w:t>до цієї тендерної документації.</w:t>
            </w:r>
          </w:p>
        </w:tc>
      </w:tr>
      <w:tr>
        <w:trPr>
          <w:trHeight w:val="47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841"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C9211E"/>
                <w:sz w:val="24"/>
                <w:szCs w:val="24"/>
              </w:rPr>
              <w:t>08.0</w:t>
            </w:r>
            <w:r>
              <w:rPr>
                <w:rFonts w:eastAsia="Times New Roman" w:cs="Times New Roman" w:ascii="Times New Roman" w:hAnsi="Times New Roman"/>
                <w:b/>
                <w:color w:val="C9211E"/>
                <w:sz w:val="24"/>
                <w:szCs w:val="24"/>
              </w:rPr>
              <w:t>9</w:t>
            </w:r>
            <w:r>
              <w:rPr>
                <w:rFonts w:eastAsia="Times New Roman" w:cs="Times New Roman" w:ascii="Times New Roman" w:hAnsi="Times New Roman"/>
                <w:b/>
                <w:color w:val="C9211E"/>
                <w:sz w:val="24"/>
                <w:szCs w:val="24"/>
              </w:rPr>
              <w:t>.2023 року, 10:00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550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9343"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Розмір мінімального кроку пониження </w:t>
            </w:r>
            <w:r>
              <w:rPr>
                <w:rFonts w:eastAsia="Times New Roman" w:cs="Times New Roman" w:ascii="Times New Roman" w:hAnsi="Times New Roman"/>
                <w:b/>
                <w:sz w:val="24"/>
                <w:szCs w:val="24"/>
                <w:highlight w:val="white"/>
              </w:rPr>
              <w:t>ціни під час електронного аукціону – 1 %</w:t>
            </w:r>
          </w:p>
          <w:p>
            <w:pPr>
              <w:pStyle w:val="Normal"/>
              <w:widowControl w:val="false"/>
              <w:jc w:val="both"/>
              <w:rPr>
                <w:rFonts w:ascii="Times New Roman" w:hAnsi="Times New Roman" w:eastAsia="Times New Roman" w:cs="Times New Roman"/>
                <w:b/>
                <w:b/>
                <w:sz w:val="24"/>
                <w:szCs w:val="24"/>
                <w:highlight w:val="yellow"/>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е</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 xml:space="preserve">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 xml:space="preserve">не може бути укладено раніше ніж через п’ять днів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Проект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Проект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66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780"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 xml:space="preserve">           1. Додаток 1 до тендерної документації на5арк. в 1 прим.</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 Додаток 2 до тендерної документації на 3арк. в 1 прим.</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3. Додаток 3 до тендерної документації на 9арк. в 1 прим</w:t>
        <w:tab/>
        <w:tab/>
        <w:tab/>
        <w:tab/>
        <w:t xml:space="preserve">           4. Додаток 4 до тендерної пропозиції на 2 арк. в 1 прим.</w:t>
        <w:tab/>
        <w:tab/>
        <w:tab/>
        <w:tab/>
        <w:t xml:space="preserve">                       5.  Додаток 5 до тендерної пропозиції на 1 арк. в 1 прим</w:t>
      </w:r>
    </w:p>
    <w:sectPr>
      <w:headerReference w:type="default" r:id="rId7"/>
      <w:footerReference w:type="default" r:id="rId8"/>
      <w:type w:val="nextPage"/>
      <w:pgSz w:w="11906" w:h="16838"/>
      <w:pgMar w:left="1417" w:right="850" w:gutter="0" w:header="0" w:top="850" w:footer="491" w:bottom="54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 w:name="Noto San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20</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rsid w:val="00f91967"/>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f91967"/>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f91967"/>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f91967"/>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f91967"/>
    <w:pPr>
      <w:keepNext w:val="true"/>
      <w:keepLines/>
      <w:spacing w:before="220" w:after="40"/>
      <w:outlineLvl w:val="4"/>
    </w:pPr>
    <w:rPr>
      <w:b/>
    </w:rPr>
  </w:style>
  <w:style w:type="paragraph" w:styleId="6">
    <w:name w:val="Heading 6"/>
    <w:basedOn w:val="Normal"/>
    <w:next w:val="Normal"/>
    <w:uiPriority w:val="9"/>
    <w:semiHidden/>
    <w:unhideWhenUsed/>
    <w:qFormat/>
    <w:rsid w:val="00f91967"/>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Qaclassifierdk" w:customStyle="1">
    <w:name w:val="qa_classifier_dk"/>
    <w:basedOn w:val="DefaultParagraphFont"/>
    <w:qFormat/>
    <w:rsid w:val="00c05016"/>
    <w:rPr/>
  </w:style>
  <w:style w:type="paragraph" w:styleId="Style12">
    <w:name w:val="Заголовок"/>
    <w:basedOn w:val="Normal"/>
    <w:next w:val="Style13"/>
    <w:qFormat/>
    <w:pPr>
      <w:keepNext w:val="true"/>
      <w:spacing w:before="240" w:after="120"/>
    </w:pPr>
    <w:rPr>
      <w:rFonts w:ascii="Liberation Sans" w:hAnsi="Liberation Sans" w:eastAsia="Noto Sans CJK SC" w:cs="Lohit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Покажчик"/>
    <w:basedOn w:val="Normal"/>
    <w:qFormat/>
    <w:pPr>
      <w:suppressLineNumbers/>
    </w:pPr>
    <w:rPr>
      <w:rFonts w:cs="Lohit Devanagari"/>
    </w:rPr>
  </w:style>
  <w:style w:type="paragraph" w:styleId="Style17">
    <w:name w:val="Title"/>
    <w:basedOn w:val="Normal"/>
    <w:next w:val="Normal"/>
    <w:uiPriority w:val="10"/>
    <w:qFormat/>
    <w:rsid w:val="00f91967"/>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uiPriority w:val="11"/>
    <w:qFormat/>
    <w:rsid w:val="00f91967"/>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91967"/>
    <w:tblPr>
      <w:tblCellMar>
        <w:top w:w="0" w:type="dxa"/>
        <w:left w:w="0" w:type="dxa"/>
        <w:bottom w:w="0" w:type="dxa"/>
        <w:right w:w="0" w:type="dxa"/>
      </w:tblCellMar>
    </w:tbl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vitalina9848@ukr.net" TargetMode="External"/><Relationship Id="rId5" Type="http://schemas.openxmlformats.org/officeDocument/2006/relationships/hyperlink" Target="http://zakon4.rada.gov.ua/laws/show/2289-17" TargetMode="External"/><Relationship Id="rId6" Type="http://schemas.openxmlformats.org/officeDocument/2006/relationships/hyperlink" Target="http://zakon4.rada.gov.ua/laws/show/2289-17"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LibreOffice/7.4.4.2$Linux_X86_64 LibreOffice_project/40$Build-2</Application>
  <AppVersion>15.0000</AppVersion>
  <Pages>25</Pages>
  <Words>6808</Words>
  <Characters>46585</Characters>
  <CharactersWithSpaces>53335</CharactersWithSpaces>
  <Paragraphs>319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2023-06-22T09:19:00Z</dcterms:created>
  <dc:creator>userua12</dc:creator>
  <dc:description/>
  <dc:language>uk-UA</dc:language>
  <cp:lastModifiedBy/>
  <dcterms:modified xsi:type="dcterms:W3CDTF">2023-09-22T09:14:32Z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