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B67E80" w:rsidRDefault="00B67E80"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B67E80">
        <w:rPr>
          <w:rFonts w:ascii="Times New Roman" w:eastAsia="Times New Roman" w:hAnsi="Times New Roman"/>
          <w:sz w:val="24"/>
          <w:szCs w:val="24"/>
          <w:lang w:val="uk-UA"/>
        </w:rPr>
        <w:t xml:space="preserve"> 05</w:t>
      </w:r>
      <w:r w:rsidR="00604429">
        <w:rPr>
          <w:rFonts w:ascii="Times New Roman" w:eastAsia="Times New Roman" w:hAnsi="Times New Roman"/>
          <w:sz w:val="24"/>
          <w:szCs w:val="24"/>
          <w:lang w:val="uk-UA"/>
        </w:rPr>
        <w:t>.</w:t>
      </w:r>
      <w:r w:rsidR="00B67E80">
        <w:rPr>
          <w:rFonts w:ascii="Times New Roman" w:eastAsia="Times New Roman" w:hAnsi="Times New Roman"/>
          <w:sz w:val="24"/>
          <w:szCs w:val="24"/>
          <w:lang w:val="uk-UA"/>
        </w:rPr>
        <w:t>01</w:t>
      </w:r>
      <w:r w:rsidR="00604429">
        <w:rPr>
          <w:rFonts w:ascii="Times New Roman" w:eastAsia="Times New Roman" w:hAnsi="Times New Roman"/>
          <w:sz w:val="24"/>
          <w:szCs w:val="24"/>
          <w:lang w:val="uk-UA"/>
        </w:rPr>
        <w:t>.</w:t>
      </w:r>
      <w:r w:rsidR="00B67E80">
        <w:rPr>
          <w:rFonts w:ascii="Times New Roman" w:eastAsia="Times New Roman" w:hAnsi="Times New Roman"/>
          <w:sz w:val="24"/>
          <w:szCs w:val="24"/>
        </w:rPr>
        <w:t>202</w:t>
      </w:r>
      <w:r w:rsidR="00B67E80">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F52AA"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p>
    <w:p w:rsidR="00B67E80" w:rsidRDefault="00B67E80" w:rsidP="00B67E80">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rsidR="00B67E80" w:rsidRPr="00164CF4" w:rsidRDefault="00B67E80" w:rsidP="00B67E80">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164CF4">
        <w:rPr>
          <w:rFonts w:ascii="Times New Roman" w:eastAsia="Times New Roman" w:hAnsi="Times New Roman"/>
          <w:bCs/>
          <w:color w:val="000000"/>
          <w:kern w:val="3"/>
          <w:sz w:val="24"/>
          <w:szCs w:val="24"/>
          <w:lang w:val="uk-UA" w:eastAsia="zh-CN" w:bidi="hi-IN"/>
        </w:rPr>
        <w:t>(Н</w:t>
      </w:r>
      <w:r>
        <w:rPr>
          <w:rFonts w:ascii="Times New Roman" w:eastAsia="Times New Roman" w:hAnsi="Times New Roman"/>
          <w:bCs/>
          <w:color w:val="000000"/>
          <w:kern w:val="3"/>
          <w:sz w:val="24"/>
          <w:szCs w:val="24"/>
          <w:lang w:val="uk-UA" w:eastAsia="zh-CN" w:bidi="hi-IN"/>
        </w:rPr>
        <w:t>ова редакція від 05.01.2024</w:t>
      </w:r>
      <w:r w:rsidRPr="00164CF4">
        <w:rPr>
          <w:rFonts w:ascii="Times New Roman" w:eastAsia="Times New Roman" w:hAnsi="Times New Roman"/>
          <w:bCs/>
          <w:color w:val="000000"/>
          <w:kern w:val="3"/>
          <w:sz w:val="24"/>
          <w:szCs w:val="24"/>
          <w:lang w:val="uk-UA" w:eastAsia="zh-CN" w:bidi="hi-IN"/>
        </w:rPr>
        <w:t>)</w:t>
      </w:r>
    </w:p>
    <w:p w:rsidR="00604429" w:rsidRDefault="00604429" w:rsidP="00604429">
      <w:pPr>
        <w:pStyle w:val="4"/>
        <w:jc w:val="center"/>
        <w:rPr>
          <w:rFonts w:ascii="Times New Roman" w:eastAsia="Calibri" w:hAnsi="Times New Roman"/>
          <w:b/>
        </w:rPr>
      </w:pPr>
      <w:r>
        <w:rPr>
          <w:rFonts w:ascii="Times New Roman" w:eastAsia="Calibri" w:hAnsi="Times New Roman"/>
          <w:b/>
        </w:rPr>
        <w:t xml:space="preserve"> </w:t>
      </w: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997486" w:rsidRDefault="00997486" w:rsidP="00997486">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B67E80">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B67E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r w:rsidR="00604429">
              <w:rPr>
                <w:rFonts w:ascii="Times New Roman" w:hAnsi="Times New Roman"/>
                <w:b/>
              </w:rPr>
              <w:t xml:space="preserve"> </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CA5BEB">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9F52AA">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9F52AA">
              <w:rPr>
                <w:rFonts w:ascii="Times New Roman" w:hAnsi="Times New Roman"/>
                <w:b/>
                <w:color w:val="000000" w:themeColor="text1"/>
                <w:shd w:val="clear" w:color="auto" w:fill="FFFFFF"/>
              </w:rPr>
              <w:t>4291 л</w:t>
            </w:r>
            <w:r w:rsidR="00604429">
              <w:rPr>
                <w:rFonts w:ascii="Times New Roman" w:hAnsi="Times New Roman"/>
                <w:b/>
                <w:color w:val="000000" w:themeColor="text1"/>
                <w:shd w:val="clear" w:color="auto" w:fill="FFFFFF"/>
              </w:rPr>
              <w:t xml:space="preserve">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B67E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B67E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CA5BEB">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67E80"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45C5" w:rsidRPr="00CA5BEB">
              <w:rPr>
                <w:rFonts w:ascii="Times New Roman" w:eastAsia="Times New Roman" w:hAnsi="Times New Roman"/>
                <w:sz w:val="24"/>
                <w:szCs w:val="24"/>
                <w:lang w:val="uk-UA" w:eastAsia="ru-RU"/>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lastRenderedPageBreak/>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w:t>
            </w:r>
            <w:r w:rsidRPr="00CA5BEB">
              <w:lastRenderedPageBreak/>
              <w:t>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8" w:history="1">
              <w:r w:rsidRPr="00CA5BEB">
                <w:rPr>
                  <w:rStyle w:val="a3"/>
                  <w:color w:val="auto"/>
                </w:rPr>
                <w:t xml:space="preserve">Законом </w:t>
              </w:r>
              <w:r w:rsidRPr="00CA5BEB">
                <w:rPr>
                  <w:rStyle w:val="a3"/>
                  <w:color w:val="auto"/>
                </w:rPr>
                <w:lastRenderedPageBreak/>
                <w:t>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B67E80"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 xml:space="preserve">До закінчення зазначеного строку замовник має право </w:t>
            </w:r>
            <w:r w:rsidR="0082608A" w:rsidRPr="00CA5BEB">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B67E80"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CA5BEB">
              <w:rPr>
                <w:shd w:val="clear" w:color="auto" w:fill="FFFFFF"/>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A5BEB">
              <w:rPr>
                <w:shd w:val="clear" w:color="auto" w:fill="FFFFFF"/>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B67E80"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67E80"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A5BEB">
              <w:rPr>
                <w:shd w:val="clear" w:color="auto" w:fill="FFFFFF"/>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B67E80"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A5BEB">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 xml:space="preserve">Приклади формальних (несуттєвих) помилок належать. До формальних (несуттєвих) помилок </w:t>
            </w:r>
            <w:proofErr w:type="spellStart"/>
            <w:r w:rsidRPr="00CA5BEB">
              <w:rPr>
                <w:b/>
              </w:rPr>
              <w:t>мужуть</w:t>
            </w:r>
            <w:proofErr w:type="spellEnd"/>
            <w:r w:rsidRPr="00CA5BEB">
              <w:rPr>
                <w:b/>
              </w:rPr>
              <w:t xml:space="preserve">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B67E80"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A5BEB">
              <w:lastRenderedPageBreak/>
              <w:t>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B67E80"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lastRenderedPageBreak/>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lastRenderedPageBreak/>
        <w:t>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B67E80"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B67E80"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B67E80"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B67E80"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lastRenderedPageBreak/>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b/>
              </w:rPr>
              <w:lastRenderedPageBreak/>
              <w:t xml:space="preserve">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B67E80"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 xml:space="preserve">1.5. Довідка про присвоєння ідентифікаційного коду (у разі відсутності з релігійних переконань, сторінки паспорта з відповідною відміткою  або </w:t>
            </w:r>
            <w:r>
              <w:rPr>
                <w:color w:val="00000A"/>
              </w:rPr>
              <w:lastRenderedPageBreak/>
              <w:t>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B67E80"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w:t>
            </w:r>
            <w:r>
              <w:lastRenderedPageBreak/>
              <w:t xml:space="preserve">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lastRenderedPageBreak/>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Pr>
                <w:i/>
                <w:iCs/>
              </w:rPr>
              <w:lastRenderedPageBreak/>
              <w:t>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w:t>
      </w:r>
      <w:r>
        <w:rPr>
          <w:i/>
        </w:rPr>
        <w:lastRenderedPageBreak/>
        <w:t>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1F3F1F" w:rsidRDefault="00BF1A2A" w:rsidP="001F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товару –</w:t>
      </w:r>
      <w:r w:rsidR="001F3F1F" w:rsidRPr="001F3F1F">
        <w:rPr>
          <w:rFonts w:ascii="Times New Roman" w:hAnsi="Times New Roman"/>
          <w:b/>
          <w:sz w:val="24"/>
          <w:szCs w:val="24"/>
          <w:lang w:val="uk-UA"/>
        </w:rPr>
        <w:t xml:space="preserve"> </w:t>
      </w:r>
      <w:r w:rsidR="001F3F1F" w:rsidRPr="009F52AA">
        <w:rPr>
          <w:rFonts w:ascii="Times New Roman" w:hAnsi="Times New Roman"/>
          <w:b/>
          <w:sz w:val="24"/>
          <w:szCs w:val="24"/>
          <w:lang w:val="uk-UA"/>
        </w:rPr>
        <w:t xml:space="preserve">Код національного класифікатора України </w:t>
      </w:r>
      <w:proofErr w:type="spellStart"/>
      <w:r w:rsidR="001F3F1F" w:rsidRPr="009F52AA">
        <w:rPr>
          <w:rFonts w:ascii="Times New Roman" w:hAnsi="Times New Roman"/>
          <w:b/>
          <w:sz w:val="24"/>
          <w:szCs w:val="24"/>
          <w:lang w:val="uk-UA"/>
        </w:rPr>
        <w:t>ДК</w:t>
      </w:r>
      <w:proofErr w:type="spellEnd"/>
      <w:r w:rsidR="001F3F1F" w:rsidRPr="009F52AA">
        <w:rPr>
          <w:rFonts w:ascii="Times New Roman" w:hAnsi="Times New Roman"/>
          <w:b/>
          <w:sz w:val="24"/>
          <w:szCs w:val="24"/>
          <w:lang w:val="uk-UA"/>
        </w:rPr>
        <w:t xml:space="preserve"> 021:2015 </w:t>
      </w:r>
      <w:proofErr w:type="spellStart"/>
      <w:r w:rsidR="001F3F1F" w:rsidRPr="009F52AA">
        <w:rPr>
          <w:rFonts w:ascii="Times New Roman" w:hAnsi="Times New Roman"/>
          <w:b/>
          <w:sz w:val="24"/>
          <w:szCs w:val="24"/>
          <w:lang w:val="uk-UA"/>
        </w:rPr>
        <w:t>“Єдиний</w:t>
      </w:r>
      <w:proofErr w:type="spellEnd"/>
      <w:r w:rsidR="001F3F1F" w:rsidRPr="009F52AA">
        <w:rPr>
          <w:rFonts w:ascii="Times New Roman" w:hAnsi="Times New Roman"/>
          <w:b/>
          <w:sz w:val="24"/>
          <w:szCs w:val="24"/>
          <w:lang w:val="uk-UA"/>
        </w:rPr>
        <w:t xml:space="preserve"> закупівельний </w:t>
      </w:r>
      <w:proofErr w:type="spellStart"/>
      <w:r w:rsidR="001F3F1F" w:rsidRPr="009F52AA">
        <w:rPr>
          <w:rFonts w:ascii="Times New Roman" w:hAnsi="Times New Roman"/>
          <w:b/>
          <w:sz w:val="24"/>
          <w:szCs w:val="24"/>
          <w:lang w:val="uk-UA"/>
        </w:rPr>
        <w:t>словник”</w:t>
      </w:r>
      <w:proofErr w:type="spellEnd"/>
      <w:r w:rsidR="001F3F1F" w:rsidRPr="009F52AA">
        <w:rPr>
          <w:rFonts w:ascii="Times New Roman" w:hAnsi="Times New Roman"/>
          <w:b/>
          <w:sz w:val="24"/>
          <w:szCs w:val="24"/>
          <w:lang w:val="uk-UA"/>
        </w:rPr>
        <w:t xml:space="preserve"> - </w:t>
      </w:r>
      <w:r w:rsidR="001F3F1F"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001F3F1F" w:rsidRPr="009F52AA">
        <w:rPr>
          <w:rFonts w:ascii="Times New Roman" w:eastAsia="Times New Roman" w:hAnsi="Times New Roman"/>
          <w:b/>
          <w:bCs/>
          <w:sz w:val="24"/>
          <w:szCs w:val="24"/>
          <w:lang w:val="uk-UA" w:bidi="en-US"/>
        </w:rPr>
        <w:t>фруктово</w:t>
      </w:r>
      <w:proofErr w:type="spellEnd"/>
      <w:r w:rsidR="001F3F1F" w:rsidRPr="009F52AA">
        <w:rPr>
          <w:rFonts w:ascii="Times New Roman" w:eastAsia="Times New Roman" w:hAnsi="Times New Roman"/>
          <w:b/>
          <w:bCs/>
          <w:sz w:val="24"/>
          <w:szCs w:val="24"/>
          <w:lang w:val="uk-UA" w:bidi="en-US"/>
        </w:rPr>
        <w:t xml:space="preserve"> - ягідні)</w:t>
      </w:r>
      <w:r w:rsidR="0025137C" w:rsidRPr="00604429">
        <w:rPr>
          <w:rFonts w:ascii="Times New Roman" w:hAnsi="Times New Roman"/>
          <w:b/>
          <w:bCs/>
          <w:color w:val="000000"/>
        </w:rPr>
        <w:t xml:space="preserve"> </w:t>
      </w:r>
      <w:r w:rsidRPr="00604429">
        <w:rPr>
          <w:rFonts w:ascii="Times New Roman" w:hAnsi="Times New Roman"/>
          <w:b/>
        </w:rPr>
        <w:t>(далі по тексту – товар).</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60442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9F52AA" w:rsidRDefault="009F52AA" w:rsidP="009F52AA">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9F52AA"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p>
    <w:tbl>
      <w:tblPr>
        <w:tblW w:w="467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046"/>
        <w:gridCol w:w="1177"/>
        <w:gridCol w:w="3178"/>
      </w:tblGrid>
      <w:tr w:rsidR="009F52AA" w:rsidRPr="009F52AA" w:rsidTr="009F52AA">
        <w:trPr>
          <w:trHeight w:val="166"/>
        </w:trPr>
        <w:tc>
          <w:tcPr>
            <w:tcW w:w="25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 п/п</w:t>
            </w:r>
          </w:p>
        </w:tc>
        <w:tc>
          <w:tcPr>
            <w:tcW w:w="2346"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Найменування та опис  товару</w:t>
            </w:r>
          </w:p>
        </w:tc>
        <w:tc>
          <w:tcPr>
            <w:tcW w:w="53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Кількість</w:t>
            </w:r>
          </w:p>
        </w:tc>
        <w:tc>
          <w:tcPr>
            <w:tcW w:w="1860" w:type="pct"/>
          </w:tcPr>
          <w:p w:rsidR="009F52AA" w:rsidRPr="009F52AA" w:rsidRDefault="009F52AA" w:rsidP="009F52AA">
            <w:pPr>
              <w:spacing w:after="0" w:line="240" w:lineRule="auto"/>
              <w:rPr>
                <w:rFonts w:ascii="Times New Roman" w:hAnsi="Times New Roman"/>
                <w:b/>
                <w:bCs/>
                <w:sz w:val="24"/>
                <w:szCs w:val="24"/>
                <w:u w:val="single"/>
                <w:lang w:val="uk-UA"/>
              </w:rPr>
            </w:pPr>
            <w:r w:rsidRPr="009F52AA">
              <w:rPr>
                <w:rFonts w:ascii="Times New Roman" w:hAnsi="Times New Roman"/>
                <w:b/>
                <w:bCs/>
                <w:sz w:val="24"/>
                <w:szCs w:val="24"/>
                <w:lang w:val="uk-UA"/>
              </w:rPr>
              <w:t>Найменування та опис характеристик товарів</w:t>
            </w:r>
            <w:r w:rsidRPr="009F52AA">
              <w:rPr>
                <w:rFonts w:ascii="Times New Roman" w:hAnsi="Times New Roman"/>
                <w:b/>
                <w:bCs/>
                <w:i/>
                <w:sz w:val="24"/>
                <w:szCs w:val="24"/>
                <w:lang w:val="uk-UA"/>
              </w:rPr>
              <w:t xml:space="preserve">, </w:t>
            </w:r>
            <w:r w:rsidRPr="009F52AA">
              <w:rPr>
                <w:rFonts w:ascii="Times New Roman" w:hAnsi="Times New Roman"/>
                <w:b/>
                <w:bCs/>
                <w:sz w:val="24"/>
                <w:szCs w:val="24"/>
                <w:u w:val="single"/>
                <w:lang w:val="uk-UA"/>
              </w:rPr>
              <w:t>що пропонуються учасником</w:t>
            </w:r>
          </w:p>
          <w:p w:rsidR="009F52AA" w:rsidRPr="009F52AA" w:rsidRDefault="009F52AA" w:rsidP="009F52AA">
            <w:pPr>
              <w:pStyle w:val="21"/>
              <w:rPr>
                <w:rFonts w:ascii="Times New Roman" w:hAnsi="Times New Roman"/>
                <w:i/>
                <w:u w:val="single"/>
                <w:lang w:eastAsia="en-US"/>
              </w:rPr>
            </w:pPr>
            <w:r w:rsidRPr="009F52AA">
              <w:rPr>
                <w:rFonts w:ascii="Times New Roman" w:hAnsi="Times New Roman"/>
                <w:i/>
                <w:u w:val="single"/>
              </w:rPr>
              <w:t xml:space="preserve">При заповненні учасником даної колонки, обов’язково має вказуватися опис запропонованих товарів, а також </w:t>
            </w:r>
            <w:r w:rsidRPr="009F52AA">
              <w:rPr>
                <w:rFonts w:ascii="Times New Roman" w:hAnsi="Times New Roman"/>
                <w:i/>
                <w:color w:val="000000"/>
                <w:u w:val="single"/>
              </w:rPr>
              <w:t xml:space="preserve">- </w:t>
            </w:r>
            <w:r w:rsidRPr="009F52AA">
              <w:rPr>
                <w:rFonts w:ascii="Times New Roman" w:hAnsi="Times New Roman"/>
                <w:i/>
                <w:u w:val="single"/>
              </w:rPr>
              <w:t xml:space="preserve">відомості про виробника продукції. </w:t>
            </w:r>
            <w:r w:rsidRPr="009F52AA">
              <w:rPr>
                <w:rFonts w:ascii="Times New Roman" w:hAnsi="Times New Roman"/>
              </w:rPr>
              <w:t>Вимоги до товару</w:t>
            </w:r>
          </w:p>
        </w:tc>
      </w:tr>
      <w:tr w:rsidR="009F52AA" w:rsidRPr="009F52AA" w:rsidTr="009F52AA">
        <w:trPr>
          <w:trHeight w:val="70"/>
        </w:trPr>
        <w:tc>
          <w:tcPr>
            <w:tcW w:w="25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1</w:t>
            </w:r>
          </w:p>
        </w:tc>
        <w:tc>
          <w:tcPr>
            <w:tcW w:w="2346" w:type="pct"/>
            <w:vAlign w:val="center"/>
          </w:tcPr>
          <w:p w:rsidR="009F52AA" w:rsidRPr="009F52AA" w:rsidRDefault="009F52AA" w:rsidP="009F52AA">
            <w:pPr>
              <w:widowControl w:val="0"/>
              <w:spacing w:after="0" w:line="240" w:lineRule="auto"/>
              <w:rPr>
                <w:rFonts w:ascii="Times New Roman" w:hAnsi="Times New Roman"/>
                <w:b/>
                <w:bCs/>
                <w:sz w:val="24"/>
                <w:szCs w:val="24"/>
                <w:lang w:val="uk-UA"/>
              </w:rPr>
            </w:pPr>
            <w:r w:rsidRPr="009F52AA">
              <w:rPr>
                <w:rFonts w:ascii="Times New Roman" w:hAnsi="Times New Roman"/>
                <w:b/>
                <w:bCs/>
                <w:sz w:val="24"/>
                <w:szCs w:val="24"/>
                <w:lang w:val="uk-UA"/>
              </w:rPr>
              <w:t xml:space="preserve">Соки фруктові та </w:t>
            </w:r>
            <w:proofErr w:type="spellStart"/>
            <w:r w:rsidRPr="009F52AA">
              <w:rPr>
                <w:rFonts w:ascii="Times New Roman" w:hAnsi="Times New Roman"/>
                <w:b/>
                <w:bCs/>
                <w:sz w:val="24"/>
                <w:szCs w:val="24"/>
                <w:lang w:val="uk-UA"/>
              </w:rPr>
              <w:t>фруктово</w:t>
            </w:r>
            <w:proofErr w:type="spellEnd"/>
            <w:r w:rsidRPr="009F52AA">
              <w:rPr>
                <w:rFonts w:ascii="Times New Roman" w:hAnsi="Times New Roman"/>
                <w:b/>
                <w:bCs/>
                <w:sz w:val="24"/>
                <w:szCs w:val="24"/>
                <w:lang w:val="uk-UA"/>
              </w:rPr>
              <w:t xml:space="preserve"> – ягідні</w:t>
            </w:r>
          </w:p>
          <w:p w:rsidR="009F52AA" w:rsidRPr="009F52AA" w:rsidRDefault="009F52AA" w:rsidP="009F52AA">
            <w:pPr>
              <w:spacing w:after="0" w:line="240" w:lineRule="auto"/>
              <w:rPr>
                <w:rFonts w:ascii="Times New Roman" w:hAnsi="Times New Roman"/>
                <w:bCs/>
                <w:iCs/>
                <w:sz w:val="24"/>
                <w:szCs w:val="24"/>
              </w:rPr>
            </w:pPr>
            <w:r w:rsidRPr="009F52AA">
              <w:rPr>
                <w:rFonts w:ascii="Times New Roman" w:hAnsi="Times New Roman"/>
                <w:bCs/>
                <w:iCs/>
                <w:sz w:val="24"/>
                <w:szCs w:val="24"/>
              </w:rPr>
              <w:t xml:space="preserve">За типом </w:t>
            </w:r>
            <w:proofErr w:type="spellStart"/>
            <w:r w:rsidRPr="009F52AA">
              <w:rPr>
                <w:rFonts w:ascii="Times New Roman" w:hAnsi="Times New Roman"/>
                <w:bCs/>
                <w:iCs/>
                <w:sz w:val="24"/>
                <w:szCs w:val="24"/>
              </w:rPr>
              <w:t>виготовлення</w:t>
            </w:r>
            <w:proofErr w:type="spellEnd"/>
            <w:r w:rsidRPr="009F52AA">
              <w:rPr>
                <w:rFonts w:ascii="Times New Roman" w:hAnsi="Times New Roman"/>
                <w:bCs/>
                <w:iCs/>
                <w:sz w:val="24"/>
                <w:szCs w:val="24"/>
              </w:rPr>
              <w:t xml:space="preserve"> – </w:t>
            </w:r>
            <w:proofErr w:type="spellStart"/>
            <w:proofErr w:type="gramStart"/>
            <w:r w:rsidRPr="009F52AA">
              <w:rPr>
                <w:rFonts w:ascii="Times New Roman" w:hAnsi="Times New Roman"/>
                <w:bCs/>
                <w:iCs/>
                <w:sz w:val="24"/>
                <w:szCs w:val="24"/>
              </w:rPr>
              <w:t>С</w:t>
            </w:r>
            <w:proofErr w:type="gramEnd"/>
            <w:r w:rsidRPr="009F52AA">
              <w:rPr>
                <w:rFonts w:ascii="Times New Roman" w:hAnsi="Times New Roman"/>
                <w:bCs/>
                <w:iCs/>
                <w:sz w:val="24"/>
                <w:szCs w:val="24"/>
              </w:rPr>
              <w:t>ік</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фруктовий</w:t>
            </w:r>
            <w:proofErr w:type="spellEnd"/>
            <w:r w:rsidRPr="009F52AA">
              <w:rPr>
                <w:rFonts w:ascii="Times New Roman" w:hAnsi="Times New Roman"/>
                <w:bCs/>
                <w:iCs/>
                <w:sz w:val="24"/>
                <w:szCs w:val="24"/>
              </w:rPr>
              <w:t xml:space="preserve"> </w:t>
            </w:r>
            <w:proofErr w:type="gramStart"/>
            <w:r w:rsidRPr="009F52AA">
              <w:rPr>
                <w:rFonts w:ascii="Times New Roman" w:hAnsi="Times New Roman"/>
                <w:bCs/>
                <w:iCs/>
                <w:sz w:val="24"/>
                <w:szCs w:val="24"/>
              </w:rPr>
              <w:t>та</w:t>
            </w:r>
            <w:proofErr w:type="gram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lang w:val="uk-UA"/>
              </w:rPr>
              <w:t>фруктово</w:t>
            </w:r>
            <w:proofErr w:type="spellEnd"/>
            <w:r w:rsidRPr="009F52AA">
              <w:rPr>
                <w:rFonts w:ascii="Times New Roman" w:hAnsi="Times New Roman"/>
                <w:bCs/>
                <w:iCs/>
                <w:sz w:val="24"/>
                <w:szCs w:val="24"/>
                <w:lang w:val="uk-UA"/>
              </w:rPr>
              <w:t xml:space="preserve"> - </w:t>
            </w:r>
            <w:proofErr w:type="spellStart"/>
            <w:r w:rsidRPr="009F52AA">
              <w:rPr>
                <w:rFonts w:ascii="Times New Roman" w:hAnsi="Times New Roman"/>
                <w:bCs/>
                <w:iCs/>
                <w:sz w:val="24"/>
                <w:szCs w:val="24"/>
              </w:rPr>
              <w:t>ягідний</w:t>
            </w:r>
            <w:proofErr w:type="spellEnd"/>
            <w:r w:rsidRPr="009F52AA">
              <w:rPr>
                <w:rFonts w:ascii="Times New Roman" w:hAnsi="Times New Roman"/>
                <w:bCs/>
                <w:iCs/>
                <w:sz w:val="24"/>
                <w:szCs w:val="24"/>
              </w:rPr>
              <w:t xml:space="preserve"> (</w:t>
            </w:r>
            <w:r w:rsidRPr="009F52AA">
              <w:rPr>
                <w:rFonts w:ascii="Times New Roman" w:hAnsi="Times New Roman"/>
                <w:bCs/>
                <w:iCs/>
                <w:sz w:val="24"/>
                <w:szCs w:val="24"/>
                <w:lang w:val="uk-UA"/>
              </w:rPr>
              <w:t>яблуко, персик, виноград).</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Зовнішній</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вигляд</w:t>
            </w:r>
            <w:proofErr w:type="spellEnd"/>
            <w:r w:rsidRPr="009F52AA">
              <w:rPr>
                <w:rFonts w:ascii="Times New Roman" w:hAnsi="Times New Roman"/>
                <w:bCs/>
                <w:iCs/>
                <w:sz w:val="24"/>
                <w:szCs w:val="24"/>
              </w:rPr>
              <w:t xml:space="preserve"> та </w:t>
            </w:r>
            <w:proofErr w:type="spellStart"/>
            <w:r w:rsidRPr="009F52AA">
              <w:rPr>
                <w:rFonts w:ascii="Times New Roman" w:hAnsi="Times New Roman"/>
                <w:bCs/>
                <w:iCs/>
                <w:sz w:val="24"/>
                <w:szCs w:val="24"/>
              </w:rPr>
              <w:t>концентрація</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залежновід</w:t>
            </w:r>
            <w:proofErr w:type="spellEnd"/>
            <w:r w:rsidRPr="009F52AA">
              <w:rPr>
                <w:rFonts w:ascii="Times New Roman" w:hAnsi="Times New Roman"/>
                <w:bCs/>
                <w:iCs/>
                <w:sz w:val="24"/>
                <w:szCs w:val="24"/>
              </w:rPr>
              <w:t xml:space="preserve"> типу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rPr>
              <w:t xml:space="preserve"> та </w:t>
            </w:r>
            <w:proofErr w:type="spellStart"/>
            <w:r w:rsidRPr="009F52AA">
              <w:rPr>
                <w:rFonts w:ascii="Times New Roman" w:hAnsi="Times New Roman"/>
                <w:bCs/>
                <w:iCs/>
                <w:sz w:val="24"/>
                <w:szCs w:val="24"/>
              </w:rPr>
              <w:t>технології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приготування</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r w:rsidRPr="009F52AA">
              <w:rPr>
                <w:rFonts w:ascii="Times New Roman" w:hAnsi="Times New Roman"/>
                <w:bCs/>
                <w:iCs/>
                <w:sz w:val="24"/>
                <w:szCs w:val="24"/>
              </w:rPr>
              <w:t xml:space="preserve">Запах та смак – </w:t>
            </w:r>
            <w:proofErr w:type="spellStart"/>
            <w:r w:rsidRPr="009F52AA">
              <w:rPr>
                <w:rFonts w:ascii="Times New Roman" w:hAnsi="Times New Roman"/>
                <w:bCs/>
                <w:iCs/>
                <w:sz w:val="24"/>
                <w:szCs w:val="24"/>
              </w:rPr>
              <w:t>натуральний</w:t>
            </w:r>
            <w:proofErr w:type="spellEnd"/>
            <w:r w:rsidRPr="009F52AA">
              <w:rPr>
                <w:rFonts w:ascii="Times New Roman" w:hAnsi="Times New Roman"/>
                <w:bCs/>
                <w:iCs/>
                <w:sz w:val="24"/>
                <w:szCs w:val="24"/>
              </w:rPr>
              <w:t xml:space="preserve">, </w:t>
            </w:r>
            <w:proofErr w:type="gramStart"/>
            <w:r w:rsidRPr="009F52AA">
              <w:rPr>
                <w:rFonts w:ascii="Times New Roman" w:hAnsi="Times New Roman"/>
                <w:bCs/>
                <w:iCs/>
                <w:sz w:val="24"/>
                <w:szCs w:val="24"/>
              </w:rPr>
              <w:t>добре</w:t>
            </w:r>
            <w:proofErr w:type="gram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виражений</w:t>
            </w:r>
            <w:proofErr w:type="spellEnd"/>
            <w:r w:rsidRPr="009F52AA">
              <w:rPr>
                <w:rFonts w:ascii="Times New Roman" w:hAnsi="Times New Roman"/>
                <w:bCs/>
                <w:iCs/>
                <w:sz w:val="24"/>
                <w:szCs w:val="24"/>
              </w:rPr>
              <w:t xml:space="preserve"> смак та аромат, </w:t>
            </w:r>
            <w:proofErr w:type="spellStart"/>
            <w:r w:rsidRPr="009F52AA">
              <w:rPr>
                <w:rFonts w:ascii="Times New Roman" w:hAnsi="Times New Roman"/>
                <w:bCs/>
                <w:iCs/>
                <w:sz w:val="24"/>
                <w:szCs w:val="24"/>
              </w:rPr>
              <w:t>властиві</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використаним</w:t>
            </w:r>
            <w:proofErr w:type="spellEnd"/>
            <w:r w:rsidRPr="009F52AA">
              <w:rPr>
                <w:rFonts w:ascii="Times New Roman" w:hAnsi="Times New Roman"/>
                <w:bCs/>
                <w:iCs/>
                <w:sz w:val="24"/>
                <w:szCs w:val="24"/>
              </w:rPr>
              <w:t xml:space="preserve"> видам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Колі</w:t>
            </w:r>
            <w:proofErr w:type="gramStart"/>
            <w:r w:rsidRPr="009F52AA">
              <w:rPr>
                <w:rFonts w:ascii="Times New Roman" w:hAnsi="Times New Roman"/>
                <w:bCs/>
                <w:iCs/>
                <w:sz w:val="24"/>
                <w:szCs w:val="24"/>
              </w:rPr>
              <w:t>р</w:t>
            </w:r>
            <w:proofErr w:type="spellEnd"/>
            <w:proofErr w:type="gram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однорідний</w:t>
            </w:r>
            <w:proofErr w:type="spellEnd"/>
            <w:r w:rsidRPr="009F52AA">
              <w:rPr>
                <w:rFonts w:ascii="Times New Roman" w:hAnsi="Times New Roman"/>
                <w:bCs/>
                <w:iCs/>
                <w:sz w:val="24"/>
                <w:szCs w:val="24"/>
              </w:rPr>
              <w:t xml:space="preserve"> за </w:t>
            </w:r>
            <w:proofErr w:type="spellStart"/>
            <w:r w:rsidRPr="009F52AA">
              <w:rPr>
                <w:rFonts w:ascii="Times New Roman" w:hAnsi="Times New Roman"/>
                <w:bCs/>
                <w:iCs/>
                <w:sz w:val="24"/>
                <w:szCs w:val="24"/>
              </w:rPr>
              <w:t>всією</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масою</w:t>
            </w:r>
            <w:proofErr w:type="spell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властивий</w:t>
            </w:r>
            <w:proofErr w:type="spellEnd"/>
            <w:r w:rsidRPr="009F52AA">
              <w:rPr>
                <w:rFonts w:ascii="Times New Roman" w:hAnsi="Times New Roman"/>
                <w:bCs/>
                <w:iCs/>
                <w:sz w:val="24"/>
                <w:szCs w:val="24"/>
              </w:rPr>
              <w:t xml:space="preserve"> соку </w:t>
            </w:r>
            <w:proofErr w:type="spellStart"/>
            <w:r w:rsidRPr="009F52AA">
              <w:rPr>
                <w:rFonts w:ascii="Times New Roman" w:hAnsi="Times New Roman"/>
                <w:bCs/>
                <w:iCs/>
                <w:sz w:val="24"/>
                <w:szCs w:val="24"/>
              </w:rPr>
              <w:t>з</w:t>
            </w:r>
            <w:proofErr w:type="spell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відповідної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після</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термічної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обробки</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Споживчепакування</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багатошарова</w:t>
            </w:r>
            <w:proofErr w:type="spellEnd"/>
            <w:r w:rsidRPr="009F52AA">
              <w:rPr>
                <w:rFonts w:ascii="Times New Roman" w:hAnsi="Times New Roman"/>
                <w:bCs/>
                <w:iCs/>
                <w:sz w:val="24"/>
                <w:szCs w:val="24"/>
              </w:rPr>
              <w:t xml:space="preserve"> упаковка (</w:t>
            </w:r>
            <w:proofErr w:type="spellStart"/>
            <w:r w:rsidRPr="009F52AA">
              <w:rPr>
                <w:rFonts w:ascii="Times New Roman" w:hAnsi="Times New Roman"/>
                <w:bCs/>
                <w:iCs/>
                <w:sz w:val="24"/>
                <w:szCs w:val="24"/>
              </w:rPr>
              <w:t>шари</w:t>
            </w:r>
            <w:proofErr w:type="spellEnd"/>
            <w:r w:rsidRPr="009F52AA">
              <w:rPr>
                <w:rFonts w:ascii="Times New Roman" w:hAnsi="Times New Roman"/>
                <w:bCs/>
                <w:iCs/>
                <w:sz w:val="24"/>
                <w:szCs w:val="24"/>
              </w:rPr>
              <w:t xml:space="preserve"> картону, </w:t>
            </w:r>
            <w:proofErr w:type="spellStart"/>
            <w:r w:rsidRPr="009F52AA">
              <w:rPr>
                <w:rFonts w:ascii="Times New Roman" w:hAnsi="Times New Roman"/>
                <w:bCs/>
                <w:iCs/>
                <w:sz w:val="24"/>
                <w:szCs w:val="24"/>
              </w:rPr>
              <w:t>алюмінієва</w:t>
            </w:r>
            <w:proofErr w:type="spellEnd"/>
            <w:r w:rsidRPr="009F52AA">
              <w:rPr>
                <w:rFonts w:ascii="Times New Roman" w:hAnsi="Times New Roman"/>
                <w:bCs/>
                <w:iCs/>
                <w:sz w:val="24"/>
                <w:szCs w:val="24"/>
              </w:rPr>
              <w:t xml:space="preserve"> фольга)</w:t>
            </w:r>
            <w:r w:rsidRPr="009F52AA">
              <w:rPr>
                <w:rFonts w:ascii="Times New Roman" w:hAnsi="Times New Roman"/>
                <w:bCs/>
                <w:iCs/>
                <w:sz w:val="24"/>
                <w:szCs w:val="24"/>
                <w:lang w:val="uk-UA"/>
              </w:rPr>
              <w:t xml:space="preserve"> типу «</w:t>
            </w:r>
            <w:proofErr w:type="spellStart"/>
            <w:r w:rsidRPr="009F52AA">
              <w:rPr>
                <w:rFonts w:ascii="Times New Roman" w:hAnsi="Times New Roman"/>
                <w:bCs/>
                <w:iCs/>
                <w:sz w:val="24"/>
                <w:szCs w:val="24"/>
                <w:lang w:val="uk-UA"/>
              </w:rPr>
              <w:t>Тетрапак</w:t>
            </w:r>
            <w:proofErr w:type="spellEnd"/>
            <w:r w:rsidRPr="009F52AA">
              <w:rPr>
                <w:rFonts w:ascii="Times New Roman" w:hAnsi="Times New Roman"/>
                <w:bCs/>
                <w:iCs/>
                <w:sz w:val="24"/>
                <w:szCs w:val="24"/>
                <w:lang w:val="uk-UA"/>
              </w:rPr>
              <w:t>» вмі</w:t>
            </w:r>
            <w:proofErr w:type="gramStart"/>
            <w:r w:rsidRPr="009F52AA">
              <w:rPr>
                <w:rFonts w:ascii="Times New Roman" w:hAnsi="Times New Roman"/>
                <w:bCs/>
                <w:iCs/>
                <w:sz w:val="24"/>
                <w:szCs w:val="24"/>
                <w:lang w:val="uk-UA"/>
              </w:rPr>
              <w:t>ст</w:t>
            </w:r>
            <w:proofErr w:type="gramEnd"/>
            <w:r w:rsidRPr="009F52AA">
              <w:rPr>
                <w:rFonts w:ascii="Times New Roman" w:hAnsi="Times New Roman"/>
                <w:bCs/>
                <w:iCs/>
                <w:sz w:val="24"/>
                <w:szCs w:val="24"/>
                <w:lang w:val="uk-UA"/>
              </w:rPr>
              <w:t xml:space="preserve"> 1 л</w:t>
            </w:r>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Оцінкаякості</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Згідно</w:t>
            </w:r>
            <w:proofErr w:type="spellEnd"/>
            <w:r w:rsidRPr="009F52AA">
              <w:rPr>
                <w:rFonts w:ascii="Times New Roman" w:hAnsi="Times New Roman"/>
                <w:bCs/>
                <w:iCs/>
                <w:sz w:val="24"/>
                <w:szCs w:val="24"/>
              </w:rPr>
              <w:t xml:space="preserve"> ДСТУ 4008-2001 </w:t>
            </w:r>
            <w:proofErr w:type="spellStart"/>
            <w:r w:rsidRPr="009F52AA">
              <w:rPr>
                <w:rFonts w:ascii="Times New Roman" w:hAnsi="Times New Roman"/>
                <w:bCs/>
                <w:iCs/>
                <w:sz w:val="24"/>
                <w:szCs w:val="24"/>
              </w:rPr>
              <w:t>або</w:t>
            </w:r>
            <w:proofErr w:type="spellEnd"/>
            <w:r w:rsidRPr="009F52AA">
              <w:rPr>
                <w:rFonts w:ascii="Times New Roman" w:hAnsi="Times New Roman"/>
                <w:bCs/>
                <w:iCs/>
                <w:sz w:val="24"/>
                <w:szCs w:val="24"/>
              </w:rPr>
              <w:t xml:space="preserve"> ТУ.</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
                <w:bCs/>
                <w:iCs/>
                <w:sz w:val="24"/>
                <w:szCs w:val="24"/>
              </w:rPr>
              <w:t xml:space="preserve">За </w:t>
            </w:r>
            <w:proofErr w:type="spellStart"/>
            <w:r w:rsidRPr="009F52AA">
              <w:rPr>
                <w:rFonts w:ascii="Times New Roman" w:hAnsi="Times New Roman"/>
                <w:b/>
                <w:bCs/>
                <w:iCs/>
                <w:sz w:val="24"/>
                <w:szCs w:val="24"/>
              </w:rPr>
              <w:t>технологією</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виробництва</w:t>
            </w:r>
            <w:proofErr w:type="spellEnd"/>
            <w:r w:rsidRPr="009F52AA">
              <w:rPr>
                <w:rFonts w:ascii="Times New Roman" w:hAnsi="Times New Roman"/>
                <w:b/>
                <w:bCs/>
                <w:iCs/>
                <w:sz w:val="24"/>
                <w:szCs w:val="24"/>
              </w:rPr>
              <w:t xml:space="preserve"> </w:t>
            </w:r>
            <w:proofErr w:type="spellStart"/>
            <w:r w:rsidRPr="009F52AA">
              <w:rPr>
                <w:rFonts w:ascii="Times New Roman" w:hAnsi="Times New Roman"/>
                <w:b/>
                <w:bCs/>
                <w:iCs/>
                <w:sz w:val="24"/>
                <w:szCs w:val="24"/>
              </w:rPr>
              <w:t>з</w:t>
            </w:r>
            <w:proofErr w:type="spellEnd"/>
            <w:r w:rsidRPr="009F52AA">
              <w:rPr>
                <w:rFonts w:ascii="Times New Roman" w:hAnsi="Times New Roman"/>
                <w:b/>
                <w:bCs/>
                <w:iCs/>
                <w:sz w:val="24"/>
                <w:szCs w:val="24"/>
              </w:rPr>
              <w:t xml:space="preserve"> </w:t>
            </w:r>
            <w:proofErr w:type="spellStart"/>
            <w:r w:rsidRPr="009F52AA">
              <w:rPr>
                <w:rFonts w:ascii="Times New Roman" w:hAnsi="Times New Roman"/>
                <w:b/>
                <w:bCs/>
                <w:iCs/>
                <w:sz w:val="24"/>
                <w:szCs w:val="24"/>
              </w:rPr>
              <w:t>м’якоттю</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або</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освітленні</w:t>
            </w:r>
            <w:proofErr w:type="spellEnd"/>
            <w:r w:rsidRPr="009F52AA">
              <w:rPr>
                <w:rFonts w:ascii="Times New Roman" w:hAnsi="Times New Roman"/>
                <w:b/>
                <w:bCs/>
                <w:iCs/>
                <w:sz w:val="24"/>
                <w:szCs w:val="24"/>
                <w:lang w:val="uk-UA"/>
              </w:rPr>
              <w:t xml:space="preserve"> без додавання цукру та </w:t>
            </w:r>
            <w:proofErr w:type="spellStart"/>
            <w:proofErr w:type="gramStart"/>
            <w:r w:rsidRPr="009F52AA">
              <w:rPr>
                <w:rFonts w:ascii="Times New Roman" w:hAnsi="Times New Roman"/>
                <w:b/>
                <w:bCs/>
                <w:iCs/>
                <w:sz w:val="24"/>
                <w:szCs w:val="24"/>
                <w:lang w:val="uk-UA"/>
              </w:rPr>
              <w:t>п</w:t>
            </w:r>
            <w:proofErr w:type="gramEnd"/>
            <w:r w:rsidRPr="009F52AA">
              <w:rPr>
                <w:rFonts w:ascii="Times New Roman" w:hAnsi="Times New Roman"/>
                <w:b/>
                <w:bCs/>
                <w:iCs/>
                <w:sz w:val="24"/>
                <w:szCs w:val="24"/>
                <w:lang w:val="uk-UA"/>
              </w:rPr>
              <w:t>ідсолоджувачів</w:t>
            </w:r>
            <w:proofErr w:type="spellEnd"/>
            <w:r w:rsidRPr="009F52AA">
              <w:rPr>
                <w:rFonts w:ascii="Times New Roman" w:hAnsi="Times New Roman"/>
                <w:b/>
                <w:bCs/>
                <w:iCs/>
                <w:sz w:val="24"/>
                <w:szCs w:val="24"/>
                <w:lang w:val="uk-UA"/>
              </w:rPr>
              <w:t>.</w:t>
            </w:r>
            <w:r w:rsidRPr="009F52AA">
              <w:rPr>
                <w:rFonts w:ascii="Times New Roman" w:hAnsi="Times New Roman"/>
                <w:sz w:val="24"/>
                <w:szCs w:val="24"/>
                <w:lang w:val="uk-UA"/>
              </w:rPr>
              <w:t xml:space="preserve"> На кожній одиниці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Cs/>
                <w:iCs/>
                <w:sz w:val="24"/>
                <w:szCs w:val="24"/>
                <w:lang w:val="uk-UA"/>
              </w:rPr>
              <w:t>Кількість компонентів – однокомпонентні або купажовані.</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Cs/>
                <w:iCs/>
                <w:sz w:val="24"/>
                <w:szCs w:val="24"/>
                <w:lang w:val="uk-UA"/>
              </w:rPr>
              <w:t xml:space="preserve">Термін придатності – 12 місяців. </w:t>
            </w:r>
            <w:bookmarkStart w:id="12" w:name="_GoBack"/>
            <w:bookmarkEnd w:id="12"/>
          </w:p>
        </w:tc>
        <w:tc>
          <w:tcPr>
            <w:tcW w:w="53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4291 л</w:t>
            </w:r>
          </w:p>
        </w:tc>
        <w:tc>
          <w:tcPr>
            <w:tcW w:w="1860" w:type="pct"/>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p>
        </w:tc>
      </w:tr>
    </w:tbl>
    <w:p w:rsidR="009F52AA" w:rsidRPr="009F52AA" w:rsidRDefault="009F52AA" w:rsidP="009F52AA">
      <w:pPr>
        <w:widowControl w:val="0"/>
        <w:suppressAutoHyphens/>
        <w:jc w:val="both"/>
        <w:rPr>
          <w:rFonts w:ascii="Times New Roman" w:eastAsia="Arial Unicode MS" w:hAnsi="Times New Roman"/>
          <w:i/>
          <w:color w:val="000000"/>
          <w:sz w:val="24"/>
          <w:szCs w:val="24"/>
          <w:lang w:val="uk-UA" w:eastAsia="zh-CN" w:bidi="uk-UA"/>
        </w:rPr>
      </w:pPr>
    </w:p>
    <w:p w:rsidR="009F52AA" w:rsidRPr="009F52AA" w:rsidRDefault="009F52AA" w:rsidP="009F52AA">
      <w:pPr>
        <w:rPr>
          <w:rFonts w:ascii="Times New Roman" w:hAnsi="Times New Roman"/>
          <w:sz w:val="24"/>
          <w:szCs w:val="24"/>
        </w:rPr>
      </w:pPr>
    </w:p>
    <w:p w:rsidR="009F52AA" w:rsidRPr="00B37EBA" w:rsidRDefault="009F52AA" w:rsidP="00E013BE">
      <w:pPr>
        <w:pStyle w:val="3"/>
        <w:jc w:val="right"/>
        <w:rPr>
          <w:b/>
        </w:rPr>
      </w:pP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1.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2.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Pr>
          <w:rFonts w:ascii="Times New Roman" w:eastAsia="Calibri" w:hAnsi="Times New Roman"/>
        </w:rPr>
        <w:t>Держпродспоживслужба</w:t>
      </w:r>
      <w:proofErr w:type="spellEnd"/>
      <w:r>
        <w:rPr>
          <w:rFonts w:ascii="Times New Roman" w:eastAsia="Calibri" w:hAnsi="Times New Roma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B67E80" w:rsidRPr="00C0500A" w:rsidRDefault="00B37EBA" w:rsidP="00B67E80">
      <w:pPr>
        <w:spacing w:after="0" w:line="240" w:lineRule="auto"/>
        <w:jc w:val="both"/>
        <w:rPr>
          <w:rFonts w:ascii="Times New Roman" w:hAnsi="Times New Roman"/>
          <w:sz w:val="24"/>
          <w:szCs w:val="24"/>
          <w:lang w:val="uk-UA" w:eastAsia="uk-UA"/>
        </w:rPr>
      </w:pPr>
      <w:r w:rsidRPr="00B67E80">
        <w:rPr>
          <w:rFonts w:ascii="Times New Roman" w:hAnsi="Times New Roman"/>
          <w:lang w:val="uk-UA"/>
        </w:rPr>
        <w:t xml:space="preserve">3. </w:t>
      </w:r>
      <w:r w:rsidR="00B67E80" w:rsidRPr="00C0500A">
        <w:rPr>
          <w:rFonts w:ascii="Times New Roman" w:hAnsi="Times New Roman"/>
          <w:sz w:val="24"/>
          <w:szCs w:val="24"/>
          <w:lang w:val="uk-UA" w:eastAsia="uk-UA"/>
        </w:rPr>
        <w:t xml:space="preserve">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останніх 4-ох місяців, що передують даті подання пропозиції. </w:t>
      </w:r>
      <w:r w:rsidR="00B67E80" w:rsidRPr="00C0500A">
        <w:rPr>
          <w:rFonts w:ascii="Times New Roman" w:hAnsi="Times New Roman"/>
          <w:sz w:val="24"/>
          <w:szCs w:val="24"/>
          <w:lang w:eastAsia="uk-UA"/>
        </w:rPr>
        <w:t xml:space="preserve">В </w:t>
      </w:r>
      <w:proofErr w:type="spellStart"/>
      <w:r w:rsidR="00B67E80" w:rsidRPr="00C0500A">
        <w:rPr>
          <w:rFonts w:ascii="Times New Roman" w:hAnsi="Times New Roman"/>
          <w:sz w:val="24"/>
          <w:szCs w:val="24"/>
          <w:lang w:eastAsia="uk-UA"/>
        </w:rPr>
        <w:t>разі</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орендованих</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потужностей</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Учасник</w:t>
      </w:r>
      <w:proofErr w:type="spellEnd"/>
      <w:r w:rsidR="00B67E80" w:rsidRPr="00C0500A">
        <w:rPr>
          <w:rFonts w:ascii="Times New Roman" w:hAnsi="Times New Roman"/>
          <w:sz w:val="24"/>
          <w:szCs w:val="24"/>
          <w:lang w:eastAsia="uk-UA"/>
        </w:rPr>
        <w:t xml:space="preserve"> в </w:t>
      </w:r>
      <w:proofErr w:type="spellStart"/>
      <w:r w:rsidR="00B67E80" w:rsidRPr="00C0500A">
        <w:rPr>
          <w:rFonts w:ascii="Times New Roman" w:hAnsi="Times New Roman"/>
          <w:sz w:val="24"/>
          <w:szCs w:val="24"/>
          <w:lang w:eastAsia="uk-UA"/>
        </w:rPr>
        <w:t>складі</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тендерної</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пропозиції</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надає</w:t>
      </w:r>
      <w:proofErr w:type="spellEnd"/>
      <w:r w:rsidR="00B67E80" w:rsidRPr="00C0500A">
        <w:rPr>
          <w:rFonts w:ascii="Times New Roman" w:hAnsi="Times New Roman"/>
          <w:sz w:val="24"/>
          <w:szCs w:val="24"/>
          <w:lang w:eastAsia="uk-UA"/>
        </w:rPr>
        <w:t xml:space="preserve"> право </w:t>
      </w:r>
      <w:proofErr w:type="spellStart"/>
      <w:r w:rsidR="00B67E80" w:rsidRPr="00C0500A">
        <w:rPr>
          <w:rFonts w:ascii="Times New Roman" w:hAnsi="Times New Roman"/>
          <w:sz w:val="24"/>
          <w:szCs w:val="24"/>
          <w:lang w:eastAsia="uk-UA"/>
        </w:rPr>
        <w:t>установчі</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документи</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що</w:t>
      </w:r>
      <w:proofErr w:type="spellEnd"/>
      <w:r w:rsidR="00B67E80" w:rsidRPr="00C0500A">
        <w:rPr>
          <w:rFonts w:ascii="Times New Roman" w:hAnsi="Times New Roman"/>
          <w:sz w:val="24"/>
          <w:szCs w:val="24"/>
          <w:lang w:eastAsia="uk-UA"/>
        </w:rPr>
        <w:t xml:space="preserve"> давали та/</w:t>
      </w:r>
      <w:proofErr w:type="spellStart"/>
      <w:r w:rsidR="00B67E80" w:rsidRPr="00C0500A">
        <w:rPr>
          <w:rFonts w:ascii="Times New Roman" w:hAnsi="Times New Roman"/>
          <w:sz w:val="24"/>
          <w:szCs w:val="24"/>
          <w:lang w:eastAsia="uk-UA"/>
        </w:rPr>
        <w:t>або</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надають</w:t>
      </w:r>
      <w:proofErr w:type="spellEnd"/>
      <w:r w:rsidR="00B67E80" w:rsidRPr="00C0500A">
        <w:rPr>
          <w:rFonts w:ascii="Times New Roman" w:hAnsi="Times New Roman"/>
          <w:sz w:val="24"/>
          <w:szCs w:val="24"/>
          <w:lang w:eastAsia="uk-UA"/>
        </w:rPr>
        <w:t xml:space="preserve"> право  </w:t>
      </w:r>
      <w:proofErr w:type="spellStart"/>
      <w:r w:rsidR="00B67E80" w:rsidRPr="00C0500A">
        <w:rPr>
          <w:rFonts w:ascii="Times New Roman" w:hAnsi="Times New Roman"/>
          <w:sz w:val="24"/>
          <w:szCs w:val="24"/>
          <w:lang w:eastAsia="uk-UA"/>
        </w:rPr>
        <w:t>к</w:t>
      </w:r>
      <w:r w:rsidR="00B67E80">
        <w:rPr>
          <w:rFonts w:ascii="Times New Roman" w:hAnsi="Times New Roman"/>
          <w:sz w:val="24"/>
          <w:szCs w:val="24"/>
          <w:lang w:eastAsia="uk-UA"/>
        </w:rPr>
        <w:t>ористування</w:t>
      </w:r>
      <w:proofErr w:type="spellEnd"/>
      <w:r w:rsidR="00B67E80">
        <w:rPr>
          <w:rFonts w:ascii="Times New Roman" w:hAnsi="Times New Roman"/>
          <w:sz w:val="24"/>
          <w:szCs w:val="24"/>
          <w:lang w:eastAsia="uk-UA"/>
        </w:rPr>
        <w:t xml:space="preserve"> </w:t>
      </w:r>
      <w:proofErr w:type="spellStart"/>
      <w:r w:rsidR="00B67E80">
        <w:rPr>
          <w:rFonts w:ascii="Times New Roman" w:hAnsi="Times New Roman"/>
          <w:sz w:val="24"/>
          <w:szCs w:val="24"/>
          <w:lang w:eastAsia="uk-UA"/>
        </w:rPr>
        <w:t>даними</w:t>
      </w:r>
      <w:proofErr w:type="spellEnd"/>
      <w:r w:rsidR="00B67E80">
        <w:rPr>
          <w:rFonts w:ascii="Times New Roman" w:hAnsi="Times New Roman"/>
          <w:sz w:val="24"/>
          <w:szCs w:val="24"/>
          <w:lang w:eastAsia="uk-UA"/>
        </w:rPr>
        <w:t xml:space="preserve"> </w:t>
      </w:r>
      <w:proofErr w:type="spellStart"/>
      <w:r w:rsidR="00B67E80">
        <w:rPr>
          <w:rFonts w:ascii="Times New Roman" w:hAnsi="Times New Roman"/>
          <w:sz w:val="24"/>
          <w:szCs w:val="24"/>
          <w:lang w:eastAsia="uk-UA"/>
        </w:rPr>
        <w:t>потужностями</w:t>
      </w:r>
      <w:proofErr w:type="spellEnd"/>
      <w:r w:rsidR="00B67E80" w:rsidRPr="00C0500A">
        <w:rPr>
          <w:rFonts w:ascii="Times New Roman" w:hAnsi="Times New Roman"/>
          <w:sz w:val="24"/>
          <w:szCs w:val="24"/>
          <w:lang w:val="uk-UA" w:eastAsia="uk-UA"/>
        </w:rPr>
        <w:t>»</w:t>
      </w:r>
      <w:r w:rsidR="00B67E80">
        <w:rPr>
          <w:rFonts w:ascii="Times New Roman" w:hAnsi="Times New Roman"/>
          <w:sz w:val="24"/>
          <w:szCs w:val="24"/>
          <w:lang w:val="uk-UA" w:eastAsia="uk-UA"/>
        </w:rPr>
        <w:t>.</w:t>
      </w:r>
    </w:p>
    <w:p w:rsidR="00B67E80" w:rsidRPr="00C0500A" w:rsidRDefault="00B67E80" w:rsidP="00B67E80">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eastAsia="uk-UA"/>
        </w:rPr>
        <w:t xml:space="preserve"> * </w:t>
      </w:r>
      <w:proofErr w:type="spellStart"/>
      <w:r w:rsidRPr="00C0500A">
        <w:rPr>
          <w:rFonts w:ascii="Times New Roman" w:hAnsi="Times New Roman"/>
          <w:sz w:val="24"/>
          <w:szCs w:val="24"/>
          <w:lang w:eastAsia="uk-UA"/>
        </w:rPr>
        <w:t>Дезінфекція</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автотранспортних</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засобі</w:t>
      </w:r>
      <w:proofErr w:type="gramStart"/>
      <w:r w:rsidRPr="00C0500A">
        <w:rPr>
          <w:rFonts w:ascii="Times New Roman" w:hAnsi="Times New Roman"/>
          <w:sz w:val="24"/>
          <w:szCs w:val="24"/>
          <w:lang w:eastAsia="uk-UA"/>
        </w:rPr>
        <w:t>в</w:t>
      </w:r>
      <w:proofErr w:type="spellEnd"/>
      <w:proofErr w:type="gramEnd"/>
      <w:r w:rsidRPr="00C0500A">
        <w:rPr>
          <w:rFonts w:ascii="Times New Roman" w:hAnsi="Times New Roman"/>
          <w:sz w:val="24"/>
          <w:szCs w:val="24"/>
          <w:lang w:eastAsia="uk-UA"/>
        </w:rPr>
        <w:t xml:space="preserve"> повинна </w:t>
      </w:r>
      <w:proofErr w:type="spellStart"/>
      <w:r w:rsidRPr="00C0500A">
        <w:rPr>
          <w:rFonts w:ascii="Times New Roman" w:hAnsi="Times New Roman"/>
          <w:sz w:val="24"/>
          <w:szCs w:val="24"/>
          <w:lang w:eastAsia="uk-UA"/>
        </w:rPr>
        <w:t>проводитись</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періодичністю</w:t>
      </w:r>
      <w:proofErr w:type="spellEnd"/>
      <w:r w:rsidRPr="00C0500A">
        <w:rPr>
          <w:rFonts w:ascii="Times New Roman" w:hAnsi="Times New Roman"/>
          <w:sz w:val="24"/>
          <w:szCs w:val="24"/>
          <w:lang w:eastAsia="uk-UA"/>
        </w:rPr>
        <w:t xml:space="preserve"> не </w:t>
      </w:r>
      <w:proofErr w:type="spellStart"/>
      <w:r w:rsidRPr="00C0500A">
        <w:rPr>
          <w:rFonts w:ascii="Times New Roman" w:hAnsi="Times New Roman"/>
          <w:sz w:val="24"/>
          <w:szCs w:val="24"/>
          <w:lang w:eastAsia="uk-UA"/>
        </w:rPr>
        <w:t>більше</w:t>
      </w:r>
      <w:proofErr w:type="spellEnd"/>
      <w:r w:rsidRPr="00C0500A">
        <w:rPr>
          <w:rFonts w:ascii="Times New Roman" w:hAnsi="Times New Roman"/>
          <w:sz w:val="24"/>
          <w:szCs w:val="24"/>
          <w:lang w:eastAsia="uk-UA"/>
        </w:rPr>
        <w:t xml:space="preserve"> 10 к. </w:t>
      </w:r>
      <w:proofErr w:type="spellStart"/>
      <w:r w:rsidRPr="00C0500A">
        <w:rPr>
          <w:rFonts w:ascii="Times New Roman" w:hAnsi="Times New Roman"/>
          <w:sz w:val="24"/>
          <w:szCs w:val="24"/>
          <w:lang w:eastAsia="uk-UA"/>
        </w:rPr>
        <w:t>днів</w:t>
      </w:r>
      <w:proofErr w:type="spellEnd"/>
      <w:r w:rsidRPr="00C0500A">
        <w:rPr>
          <w:rFonts w:ascii="Times New Roman" w:hAnsi="Times New Roman"/>
          <w:sz w:val="24"/>
          <w:szCs w:val="24"/>
          <w:lang w:eastAsia="uk-UA"/>
        </w:rPr>
        <w:t>.</w:t>
      </w:r>
    </w:p>
    <w:p w:rsidR="00B37EBA" w:rsidRPr="00B37EBA" w:rsidRDefault="00B37EBA" w:rsidP="00B37EBA">
      <w:pPr>
        <w:pStyle w:val="4"/>
        <w:spacing w:before="0" w:beforeAutospacing="0" w:after="0" w:afterAutospacing="0" w:line="240" w:lineRule="auto"/>
        <w:jc w:val="both"/>
        <w:rPr>
          <w:rFonts w:ascii="Times New Roman" w:hAnsi="Times New Roman"/>
          <w:color w:val="000000" w:themeColor="text1"/>
        </w:rPr>
      </w:pPr>
      <w:r w:rsidRPr="00B37EBA">
        <w:rPr>
          <w:rFonts w:ascii="Times New Roman" w:eastAsia="Calibri" w:hAnsi="Times New Roman"/>
          <w:color w:val="000000" w:themeColor="text1"/>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5.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6.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w:t>
      </w:r>
      <w:r>
        <w:rPr>
          <w:rFonts w:ascii="Times New Roman" w:hAnsi="Times New Roman"/>
        </w:rPr>
        <w:lastRenderedPageBreak/>
        <w:t>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 xml:space="preserve">ДСТУ ISO 22000:2019 (ISO 22000:2018. IDT); </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EN ISO 9001:2018 (ISO 9001:2015,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ISO 14001:2015 (ISO 14001:2015,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 </w:t>
      </w:r>
      <w:r>
        <w:rPr>
          <w:rFonts w:ascii="Times New Roman" w:hAnsi="Times New Roman"/>
        </w:rPr>
        <w:tab/>
        <w:t>ДСТУ ISO 45001:2019 (ISO 45001:2018,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13. Надати протокол перевірки технічного огляду автотранспортних засобів.</w:t>
      </w:r>
    </w:p>
    <w:p w:rsidR="00B67E80" w:rsidRPr="00C0500A" w:rsidRDefault="00B67E80" w:rsidP="00B67E80">
      <w:pPr>
        <w:spacing w:after="0" w:line="240" w:lineRule="auto"/>
        <w:jc w:val="both"/>
        <w:rPr>
          <w:rFonts w:ascii="Times New Roman" w:hAnsi="Times New Roman"/>
          <w:sz w:val="24"/>
          <w:szCs w:val="24"/>
          <w:lang w:val="uk-UA" w:eastAsia="uk-UA"/>
        </w:rPr>
      </w:pPr>
      <w:r w:rsidRPr="00C0500A">
        <w:rPr>
          <w:rFonts w:ascii="Times New Roman" w:hAnsi="Times New Roman"/>
          <w:bCs/>
          <w:sz w:val="24"/>
          <w:szCs w:val="24"/>
          <w:lang w:val="uk-UA"/>
        </w:rPr>
        <w:t xml:space="preserve">14. </w:t>
      </w:r>
      <w:r w:rsidRPr="00C0500A">
        <w:rPr>
          <w:rFonts w:ascii="Times New Roman" w:hAnsi="Times New Roman"/>
          <w:sz w:val="24"/>
          <w:szCs w:val="24"/>
          <w:lang w:val="uk-UA" w:eastAsia="uk-UA"/>
        </w:rPr>
        <w:t>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дата відбору проб повинна збігатися з датою проведення дезінфекції потужності (автотранспорту в кількості не менше 2-ох одиниць).</w:t>
      </w:r>
    </w:p>
    <w:p w:rsidR="00B67E80" w:rsidRPr="00C0500A" w:rsidRDefault="00B67E80" w:rsidP="00B67E80">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val="uk-UA" w:eastAsia="uk-UA"/>
        </w:rPr>
        <w:t>15. Надати учасником Експлуатаційний дозвіл на потужності з повтор</w:t>
      </w:r>
      <w:r>
        <w:rPr>
          <w:rFonts w:ascii="Times New Roman" w:hAnsi="Times New Roman"/>
          <w:sz w:val="24"/>
          <w:szCs w:val="24"/>
          <w:lang w:val="uk-UA" w:eastAsia="uk-UA"/>
        </w:rPr>
        <w:t>ного пакування та перепакування.</w:t>
      </w:r>
    </w:p>
    <w:p w:rsidR="00B67E80" w:rsidRDefault="00B67E80" w:rsidP="00B37EBA">
      <w:pPr>
        <w:pStyle w:val="4"/>
        <w:spacing w:before="0" w:beforeAutospacing="0" w:after="0" w:afterAutospacing="0" w:line="240" w:lineRule="auto"/>
        <w:jc w:val="both"/>
        <w:rPr>
          <w:rFonts w:ascii="Times New Roman" w:hAnsi="Times New Roman"/>
        </w:rPr>
      </w:pP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w:t>
      </w:r>
      <w:r w:rsidR="00BD0F1B">
        <w:rPr>
          <w:rFonts w:ascii="Times New Roman" w:hAnsi="Times New Roman"/>
          <w:bCs/>
          <w:color w:val="000000"/>
          <w:shd w:val="clear" w:color="auto" w:fill="FFFFFF"/>
        </w:rPr>
        <w:t>ушевського,26, м. Новий Розділ</w:t>
      </w:r>
      <w:r w:rsidRPr="00B37EBA">
        <w:rPr>
          <w:rFonts w:ascii="Times New Roman" w:hAnsi="Times New Roman"/>
          <w:bCs/>
          <w:color w:val="000000"/>
          <w:shd w:val="clear" w:color="auto" w:fill="FFFFFF"/>
        </w:rPr>
        <w:t xml:space="preserve">;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3"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5F21"/>
    <w:rsid w:val="001F3F1F"/>
    <w:rsid w:val="00210B11"/>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A00C6"/>
    <w:rsid w:val="003D7AA7"/>
    <w:rsid w:val="00413ADB"/>
    <w:rsid w:val="00414422"/>
    <w:rsid w:val="0042214D"/>
    <w:rsid w:val="00427DE2"/>
    <w:rsid w:val="00436798"/>
    <w:rsid w:val="004411EC"/>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F1012"/>
    <w:rsid w:val="0082608A"/>
    <w:rsid w:val="0083679C"/>
    <w:rsid w:val="00862DB0"/>
    <w:rsid w:val="00877A5C"/>
    <w:rsid w:val="0088007A"/>
    <w:rsid w:val="00883C78"/>
    <w:rsid w:val="00897BF9"/>
    <w:rsid w:val="008A42A0"/>
    <w:rsid w:val="008A7395"/>
    <w:rsid w:val="008F54BC"/>
    <w:rsid w:val="008F7BC0"/>
    <w:rsid w:val="009016D3"/>
    <w:rsid w:val="00934632"/>
    <w:rsid w:val="00956D08"/>
    <w:rsid w:val="00960019"/>
    <w:rsid w:val="00997486"/>
    <w:rsid w:val="009A1E06"/>
    <w:rsid w:val="009A7F70"/>
    <w:rsid w:val="009C2108"/>
    <w:rsid w:val="009C75F6"/>
    <w:rsid w:val="009F52AA"/>
    <w:rsid w:val="009F6480"/>
    <w:rsid w:val="00A07139"/>
    <w:rsid w:val="00A20B51"/>
    <w:rsid w:val="00A24EF9"/>
    <w:rsid w:val="00A56AE3"/>
    <w:rsid w:val="00A57464"/>
    <w:rsid w:val="00A91173"/>
    <w:rsid w:val="00A97FB4"/>
    <w:rsid w:val="00AA6430"/>
    <w:rsid w:val="00AA750D"/>
    <w:rsid w:val="00AC2592"/>
    <w:rsid w:val="00B060FF"/>
    <w:rsid w:val="00B37EBA"/>
    <w:rsid w:val="00B413F2"/>
    <w:rsid w:val="00B428E4"/>
    <w:rsid w:val="00B501BA"/>
    <w:rsid w:val="00B67E80"/>
    <w:rsid w:val="00BB51C1"/>
    <w:rsid w:val="00BC3A8A"/>
    <w:rsid w:val="00BD0F1B"/>
    <w:rsid w:val="00BD54BF"/>
    <w:rsid w:val="00BD6C65"/>
    <w:rsid w:val="00BE6E41"/>
    <w:rsid w:val="00BF1A2A"/>
    <w:rsid w:val="00C07DFA"/>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43519"/>
    <w:rsid w:val="00E55C9E"/>
    <w:rsid w:val="00E65A65"/>
    <w:rsid w:val="00E743A1"/>
    <w:rsid w:val="00E94849"/>
    <w:rsid w:val="00EA2F86"/>
    <w:rsid w:val="00EB1192"/>
    <w:rsid w:val="00EF1BCD"/>
    <w:rsid w:val="00F424BC"/>
    <w:rsid w:val="00F51D22"/>
    <w:rsid w:val="00F606EE"/>
    <w:rsid w:val="00F67975"/>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50</Pages>
  <Words>82319</Words>
  <Characters>46923</Characters>
  <Application>Microsoft Office Word</Application>
  <DocSecurity>0</DocSecurity>
  <Lines>391</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25</cp:revision>
  <cp:lastPrinted>2023-12-26T08:00:00Z</cp:lastPrinted>
  <dcterms:created xsi:type="dcterms:W3CDTF">2023-05-16T20:48:00Z</dcterms:created>
  <dcterms:modified xsi:type="dcterms:W3CDTF">2024-01-05T08:02:00Z</dcterms:modified>
</cp:coreProperties>
</file>