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26" w:rsidRPr="00621726" w:rsidRDefault="00621726" w:rsidP="0062172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621726">
        <w:rPr>
          <w:rFonts w:ascii="Times New Roman" w:hAnsi="Times New Roman"/>
          <w:b/>
          <w:sz w:val="24"/>
          <w:szCs w:val="24"/>
        </w:rPr>
        <w:t>Додаток 2</w:t>
      </w:r>
    </w:p>
    <w:p w:rsidR="00621726" w:rsidRPr="00621726" w:rsidRDefault="00621726" w:rsidP="0062172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621726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621726" w:rsidRDefault="00621726" w:rsidP="00657DDC">
      <w:pPr>
        <w:contextualSpacing/>
        <w:jc w:val="center"/>
        <w:rPr>
          <w:rFonts w:ascii="Times New Roman" w:hAnsi="Times New Roman" w:cs="Times New Roman"/>
          <w:b/>
          <w:bCs/>
          <w:i/>
          <w:caps/>
          <w:color w:val="auto"/>
          <w:lang w:val="uk-UA"/>
        </w:rPr>
      </w:pPr>
    </w:p>
    <w:p w:rsidR="00CB3FFA" w:rsidRPr="00D966C6" w:rsidRDefault="00CB3FFA" w:rsidP="00657DDC">
      <w:pPr>
        <w:contextualSpacing/>
        <w:jc w:val="center"/>
        <w:rPr>
          <w:rFonts w:ascii="Times New Roman" w:hAnsi="Times New Roman" w:cs="Times New Roman"/>
          <w:b/>
          <w:bCs/>
          <w:i/>
          <w:caps/>
          <w:color w:val="auto"/>
          <w:sz w:val="24"/>
          <w:szCs w:val="24"/>
          <w:lang w:val="uk-UA"/>
        </w:rPr>
      </w:pPr>
      <w:r w:rsidRPr="00D966C6">
        <w:rPr>
          <w:rFonts w:ascii="Times New Roman" w:hAnsi="Times New Roman" w:cs="Times New Roman"/>
          <w:b/>
          <w:bCs/>
          <w:i/>
          <w:caps/>
          <w:color w:val="auto"/>
          <w:sz w:val="24"/>
          <w:szCs w:val="24"/>
          <w:lang w:val="uk-UA"/>
        </w:rPr>
        <w:t>Технічні вимоги</w:t>
      </w:r>
    </w:p>
    <w:p w:rsidR="00CB3FFA" w:rsidRPr="00D966C6" w:rsidRDefault="00CB3FFA" w:rsidP="00621726">
      <w:pPr>
        <w:contextualSpacing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Інформація про необхідні технічні, якісні та кількісні</w:t>
      </w:r>
      <w:r w:rsidR="00DA436D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  <w:r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ха</w:t>
      </w:r>
      <w:r w:rsidR="00DA436D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рактеристики предмета закупівлі</w:t>
      </w:r>
    </w:p>
    <w:p w:rsidR="002F0387" w:rsidRPr="00D966C6" w:rsidRDefault="002F0387" w:rsidP="00621726">
      <w:pPr>
        <w:contextualSpacing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Терміни п</w:t>
      </w:r>
      <w:r w:rsidR="00621726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оставки </w:t>
      </w:r>
      <w:r w:rsidR="002051D3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до 01.05.2024</w:t>
      </w:r>
      <w:r w:rsidR="00621726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року</w:t>
      </w:r>
    </w:p>
    <w:p w:rsidR="00621726" w:rsidRPr="00D966C6" w:rsidRDefault="00621726" w:rsidP="00621726">
      <w:pPr>
        <w:contextualSpacing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Предмет закупівлі: </w:t>
      </w:r>
      <w:r w:rsidR="00657DDC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код </w:t>
      </w:r>
      <w:proofErr w:type="spellStart"/>
      <w:r w:rsidR="00CB3FFA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ДК</w:t>
      </w:r>
      <w:proofErr w:type="spellEnd"/>
      <w:r w:rsidR="00CB3FFA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021:2015</w:t>
      </w:r>
      <w:r w:rsidRPr="00D966C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15890000-3 - Продукти харчування та сушені продукти різні (Великодній набір для проведення протокольних заходів для сімей з числа пільгових та соціально вразливих категорій населення – 600</w:t>
      </w:r>
      <w:r w:rsidR="00EC1CA7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  <w:r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штук/ наборів</w:t>
      </w:r>
    </w:p>
    <w:p w:rsidR="00657DDC" w:rsidRPr="00D966C6" w:rsidRDefault="00D737C5" w:rsidP="00621726">
      <w:pPr>
        <w:contextualSpacing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Склад ,</w:t>
      </w:r>
      <w:r w:rsidR="002051D3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  <w:r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асортимент продуктів харчування, що входять до</w:t>
      </w:r>
      <w:r w:rsidR="008B3F71" w:rsidRPr="00D966C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 набору:</w:t>
      </w:r>
    </w:p>
    <w:p w:rsidR="00B2084D" w:rsidRPr="00A26196" w:rsidRDefault="00B2084D" w:rsidP="00B208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color w:val="auto"/>
          <w:sz w:val="10"/>
          <w:szCs w:val="10"/>
          <w:lang w:val="uk-UA" w:eastAsia="uk-UA"/>
        </w:rPr>
      </w:pPr>
    </w:p>
    <w:p w:rsidR="00B942AD" w:rsidRPr="00621726" w:rsidRDefault="00B942AD" w:rsidP="004979B6">
      <w:pPr>
        <w:contextualSpacing/>
        <w:jc w:val="right"/>
        <w:outlineLvl w:val="0"/>
        <w:rPr>
          <w:rFonts w:ascii="Times New Roman" w:hAnsi="Times New Roman" w:cs="Times New Roman"/>
          <w:b/>
          <w:i/>
          <w:caps/>
          <w:color w:val="auto"/>
          <w:sz w:val="20"/>
          <w:szCs w:val="20"/>
          <w:lang w:val="uk-UA"/>
        </w:rPr>
      </w:pPr>
      <w:r w:rsidRPr="00621726">
        <w:rPr>
          <w:rFonts w:ascii="Times New Roman" w:hAnsi="Times New Roman" w:cs="Times New Roman"/>
          <w:b/>
          <w:i/>
          <w:caps/>
          <w:color w:val="auto"/>
          <w:sz w:val="20"/>
          <w:szCs w:val="20"/>
          <w:lang w:val="uk-UA"/>
        </w:rPr>
        <w:t>Таблиця 1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38"/>
        <w:gridCol w:w="1323"/>
        <w:gridCol w:w="1395"/>
        <w:gridCol w:w="2243"/>
      </w:tblGrid>
      <w:tr w:rsidR="00657DDC" w:rsidRPr="00D966C6" w:rsidTr="00D966C6">
        <w:trPr>
          <w:jc w:val="center"/>
        </w:trPr>
        <w:tc>
          <w:tcPr>
            <w:tcW w:w="709" w:type="dxa"/>
            <w:vAlign w:val="center"/>
          </w:tcPr>
          <w:p w:rsidR="00657DDC" w:rsidRPr="00D966C6" w:rsidRDefault="00657DDC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:rsidR="00657DDC" w:rsidRPr="00D966C6" w:rsidRDefault="00D966C6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</w:t>
            </w:r>
            <w:r w:rsidR="00657DDC"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/п</w:t>
            </w:r>
          </w:p>
        </w:tc>
        <w:tc>
          <w:tcPr>
            <w:tcW w:w="3638" w:type="dxa"/>
            <w:vAlign w:val="center"/>
            <w:hideMark/>
          </w:tcPr>
          <w:p w:rsidR="00766504" w:rsidRPr="00D966C6" w:rsidRDefault="00657DDC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Найменування</w:t>
            </w:r>
            <w:r w:rsidR="00766504"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товару</w:t>
            </w:r>
          </w:p>
          <w:p w:rsidR="00657DDC" w:rsidRPr="00D966C6" w:rsidRDefault="00766504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Вимоги товару (вага, упаковка,сорт,тара, пакування)</w:t>
            </w:r>
          </w:p>
        </w:tc>
        <w:tc>
          <w:tcPr>
            <w:tcW w:w="1323" w:type="dxa"/>
            <w:vAlign w:val="center"/>
            <w:hideMark/>
          </w:tcPr>
          <w:p w:rsidR="00657DDC" w:rsidRPr="00D966C6" w:rsidRDefault="00657DDC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95" w:type="dxa"/>
            <w:vAlign w:val="center"/>
            <w:hideMark/>
          </w:tcPr>
          <w:p w:rsidR="00657DDC" w:rsidRPr="00D966C6" w:rsidRDefault="00657DDC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Загальна кількість товарів</w:t>
            </w: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  <w:hideMark/>
          </w:tcPr>
          <w:p w:rsidR="00657DDC" w:rsidRPr="00D966C6" w:rsidRDefault="00657DDC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Кількість за</w:t>
            </w:r>
            <w:r w:rsidR="00872230"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значених товарів у наборі</w:t>
            </w:r>
            <w:r w:rsidRPr="00D96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657DDC" w:rsidRPr="00D966C6" w:rsidTr="00D966C6">
        <w:trPr>
          <w:trHeight w:val="701"/>
          <w:jc w:val="center"/>
        </w:trPr>
        <w:tc>
          <w:tcPr>
            <w:tcW w:w="709" w:type="dxa"/>
            <w:vAlign w:val="center"/>
          </w:tcPr>
          <w:p w:rsidR="00657DDC" w:rsidRPr="00D966C6" w:rsidRDefault="00657DDC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8" w:type="dxa"/>
            <w:vAlign w:val="center"/>
            <w:hideMark/>
          </w:tcPr>
          <w:p w:rsidR="00FB45A9" w:rsidRPr="00D966C6" w:rsidRDefault="001E57AA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Кільце ковбаси</w:t>
            </w:r>
            <w:r w:rsidR="008E641E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04A07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напівкопченої</w:t>
            </w:r>
            <w:proofErr w:type="spellEnd"/>
            <w:r w:rsidR="00304A07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r w:rsidR="00067B25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              </w:t>
            </w:r>
            <w:r w:rsidR="008E641E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</w:t>
            </w:r>
            <w:r w:rsidR="00C10B92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0.4 кг вищого сорту</w:t>
            </w:r>
            <w:r w:rsidR="00067B25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</w:t>
            </w:r>
          </w:p>
          <w:p w:rsidR="00304A07" w:rsidRPr="00D966C6" w:rsidRDefault="00304A07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304A07" w:rsidRPr="00D966C6" w:rsidRDefault="00304A07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Ковбаса повинна відповідати стандарту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ДСТУ</w:t>
            </w:r>
            <w:r w:rsid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/ТУ/ГСТУ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Ковбаса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напівкопчена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виготовлена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вигляді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67B25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кільця            </w:t>
            </w:r>
            <w:r w:rsidR="00067B25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вагою </w:t>
            </w:r>
            <w:r w:rsidR="00067B25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400 г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розфасована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67B25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вакуумом в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газонепроникні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плівкові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матеріали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пакети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них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чинними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нормативними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документами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матеріали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дозволені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Центральним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органом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виконавчої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влади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здоров’я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для контакту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харчовими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продуктами.</w:t>
            </w:r>
          </w:p>
          <w:p w:rsidR="00067B25" w:rsidRPr="00D966C6" w:rsidRDefault="00067B25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067B25" w:rsidRPr="00D966C6" w:rsidRDefault="00067B25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повинно бути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виконане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ДСТУ </w:t>
            </w:r>
            <w:r w:rsid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/ГУ/ГСТУ.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повинно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бути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ійким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вологи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транспортування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відвантаження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повинно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містити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всю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обов’язкову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передбачену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Законом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споживачів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харчових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продукті</w:t>
            </w:r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».</w:t>
            </w:r>
          </w:p>
          <w:p w:rsidR="00067B25" w:rsidRPr="00D966C6" w:rsidRDefault="00067B25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Технічні характеристики товару:</w:t>
            </w:r>
          </w:p>
          <w:p w:rsidR="00067B25" w:rsidRPr="00D966C6" w:rsidRDefault="00067B25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на товарі повинна вказуватись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наступна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067B25" w:rsidRPr="00D966C6" w:rsidRDefault="00067B25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назви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адреси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ідприємства-виробника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товарного знака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(за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), телефону,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адреси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потужностей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виробництва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067B25" w:rsidRPr="00D966C6" w:rsidRDefault="00067B25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назви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сорту та складу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ковбаси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рецептури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в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порядку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переваги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складників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харчових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добавок,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використовувались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ід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виробництва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067B25" w:rsidRPr="00D966C6" w:rsidRDefault="00067B25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кінцевої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споживання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Вжити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до»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виробництва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та строку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придатності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067B25" w:rsidRPr="00D966C6" w:rsidRDefault="00067B25" w:rsidP="00D966C6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номер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партії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067B25" w:rsidRPr="00D966C6" w:rsidRDefault="00067B25" w:rsidP="00D966C6">
            <w:pPr>
              <w:pStyle w:val="relativestructuredetailfact"/>
              <w:shd w:val="clear" w:color="auto" w:fill="FFFFFF"/>
              <w:spacing w:before="0" w:beforeAutospacing="0" w:after="0" w:afterAutospacing="0"/>
            </w:pPr>
            <w:r w:rsidRPr="00D966C6">
              <w:t>умов зберігання;</w:t>
            </w:r>
          </w:p>
          <w:p w:rsidR="00067B25" w:rsidRPr="00D966C6" w:rsidRDefault="00067B25" w:rsidP="00D966C6">
            <w:pPr>
              <w:pStyle w:val="relativestructuredetailfact"/>
              <w:shd w:val="clear" w:color="auto" w:fill="FFFFFF"/>
              <w:spacing w:before="0" w:beforeAutospacing="0" w:after="0" w:afterAutospacing="0"/>
            </w:pPr>
            <w:r w:rsidRPr="00D966C6">
              <w:t>маси нетто, брутто;                    інформаційних даних про харчову та енергетичну цінність (калорійність)100 г продукту;</w:t>
            </w:r>
          </w:p>
          <w:p w:rsidR="00067B25" w:rsidRPr="00D966C6" w:rsidRDefault="00067B25" w:rsidP="00D966C6">
            <w:pPr>
              <w:pStyle w:val="newsdetailcardtext"/>
              <w:shd w:val="clear" w:color="auto" w:fill="FFFFFF"/>
              <w:spacing w:before="0" w:beforeAutospacing="0" w:after="0" w:afterAutospacing="0"/>
            </w:pPr>
            <w:r w:rsidRPr="00D966C6">
              <w:t>позначення нормативно-технічного документа.</w:t>
            </w:r>
          </w:p>
          <w:p w:rsidR="00304A07" w:rsidRPr="00D966C6" w:rsidRDefault="003402E8" w:rsidP="00D966C6">
            <w:pPr>
              <w:pStyle w:val="newsdetailcardtext"/>
              <w:shd w:val="clear" w:color="auto" w:fill="FFFFFF"/>
              <w:spacing w:before="0" w:beforeAutospacing="0" w:after="0" w:afterAutospacing="0"/>
            </w:pPr>
            <w:r w:rsidRPr="00D966C6">
              <w:t>т</w:t>
            </w:r>
            <w:r w:rsidR="00067B25" w:rsidRPr="00D966C6">
              <w:t xml:space="preserve">ермін придатності ковбаси </w:t>
            </w:r>
            <w:proofErr w:type="spellStart"/>
            <w:r w:rsidR="00067B25" w:rsidRPr="00D966C6">
              <w:t>напівкопченої</w:t>
            </w:r>
            <w:proofErr w:type="spellEnd"/>
            <w:r w:rsidR="00067B25" w:rsidRPr="00D966C6">
              <w:t xml:space="preserve"> вищого сорту в день її постачання на склад замовника повинен становити не менше 12 діб.</w:t>
            </w:r>
          </w:p>
        </w:tc>
        <w:tc>
          <w:tcPr>
            <w:tcW w:w="1323" w:type="dxa"/>
            <w:vAlign w:val="center"/>
            <w:hideMark/>
          </w:tcPr>
          <w:p w:rsidR="00657DDC" w:rsidRPr="00D966C6" w:rsidRDefault="00D13C9D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395" w:type="dxa"/>
            <w:vAlign w:val="center"/>
          </w:tcPr>
          <w:p w:rsidR="00657DDC" w:rsidRPr="00D966C6" w:rsidRDefault="00106ACE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1E57AA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</w:t>
            </w: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</w:tcPr>
          <w:p w:rsidR="00657DDC" w:rsidRPr="00D966C6" w:rsidRDefault="001E57AA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8A00F8" w:rsidRPr="00D966C6" w:rsidTr="00D966C6">
        <w:trPr>
          <w:trHeight w:val="775"/>
          <w:jc w:val="center"/>
        </w:trPr>
        <w:tc>
          <w:tcPr>
            <w:tcW w:w="709" w:type="dxa"/>
            <w:vAlign w:val="center"/>
          </w:tcPr>
          <w:p w:rsidR="008A00F8" w:rsidRPr="00D966C6" w:rsidRDefault="008A00F8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638" w:type="dxa"/>
            <w:vAlign w:val="center"/>
            <w:hideMark/>
          </w:tcPr>
          <w:p w:rsidR="00C10B92" w:rsidRPr="00D966C6" w:rsidRDefault="001E57AA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Шинка </w:t>
            </w:r>
            <w:r w:rsidR="003402E8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копчена </w:t>
            </w:r>
            <w:r w:rsidR="008E641E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по </w:t>
            </w: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0.3 кг </w:t>
            </w:r>
            <w:r w:rsidR="00C10B92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вищого сорту</w:t>
            </w:r>
            <w:r w:rsidR="003402E8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</w:t>
            </w:r>
          </w:p>
          <w:p w:rsidR="00C10B92" w:rsidRPr="00D966C6" w:rsidRDefault="00C10B92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  <w:p w:rsidR="00511E2A" w:rsidRPr="00D966C6" w:rsidRDefault="003402E8" w:rsidP="00D966C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Шинка </w:t>
            </w:r>
            <w:r w:rsidR="00A325FA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копчена </w:t>
            </w: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повинна відповідати стандарту</w:t>
            </w:r>
            <w:r w:rsidR="00511E2A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511E2A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ДСТУ</w:t>
            </w:r>
            <w:r w:rsid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/ТУ/ГСТУ.</w:t>
            </w:r>
          </w:p>
          <w:p w:rsidR="00511E2A" w:rsidRPr="00D966C6" w:rsidRDefault="00511E2A" w:rsidP="00D966C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Поверхня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чиста, суха,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плям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злипів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пошкоджень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ззовні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На розрізі м’язова тканина             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св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ітло-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рожевого кольору, без сірих плям, з прошарками жиру (сала) свинячого білого кольору або із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світло-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рожевим відтінком.               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Запах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приємний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ароматом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Шинка повинна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відповідати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нормативному документу на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продукц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саме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ДСТУ/ТУ</w:t>
            </w:r>
            <w:r w:rsidR="000B1AA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/ГСТУ.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Консистенція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пружна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Смак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приємний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злегка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гострий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міру</w:t>
            </w:r>
            <w:proofErr w:type="spellEnd"/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вираженим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ароматом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прянощів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запахом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часнику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нього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сторонніх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присмаку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запаху.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продукт </w:t>
            </w:r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повинен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бути 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натуральній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оболонці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вакуумній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упаковці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Обов’язкова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ярликів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із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зазначенням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продукту,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виробника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виготовлення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терміну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придатності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умов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зберігання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поживної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енергетичної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цінності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посилання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нормативно-технічну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документацію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відповідності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супровідних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поставку,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бути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зазначено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упаковці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11E2A" w:rsidRPr="00D966C6" w:rsidRDefault="00511E2A" w:rsidP="00D966C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8A00F8" w:rsidRPr="00D966C6" w:rsidRDefault="00A325FA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Тип упаковки – вакуумна упаковка.</w:t>
            </w:r>
          </w:p>
        </w:tc>
        <w:tc>
          <w:tcPr>
            <w:tcW w:w="1323" w:type="dxa"/>
            <w:vAlign w:val="center"/>
            <w:hideMark/>
          </w:tcPr>
          <w:p w:rsidR="00A50187" w:rsidRPr="00D966C6" w:rsidRDefault="00D13C9D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395" w:type="dxa"/>
            <w:vAlign w:val="center"/>
          </w:tcPr>
          <w:p w:rsidR="008A00F8" w:rsidRPr="00D966C6" w:rsidRDefault="00106ACE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1E57AA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</w:t>
            </w: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</w:tcPr>
          <w:p w:rsidR="008A00F8" w:rsidRPr="00D966C6" w:rsidRDefault="001E57AA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A50187" w:rsidRPr="00D966C6" w:rsidTr="00D966C6">
        <w:trPr>
          <w:trHeight w:val="7093"/>
          <w:jc w:val="center"/>
        </w:trPr>
        <w:tc>
          <w:tcPr>
            <w:tcW w:w="709" w:type="dxa"/>
            <w:vAlign w:val="center"/>
          </w:tcPr>
          <w:p w:rsidR="00A50187" w:rsidRPr="00D966C6" w:rsidRDefault="00A50187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638" w:type="dxa"/>
            <w:vAlign w:val="center"/>
            <w:hideMark/>
          </w:tcPr>
          <w:p w:rsidR="00A50187" w:rsidRPr="00D966C6" w:rsidRDefault="00A50187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Грудинка </w:t>
            </w:r>
            <w:r w:rsidR="008E641E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по </w:t>
            </w: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0.3 кг вищого сорту</w:t>
            </w:r>
            <w:r w:rsidR="00511E2A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</w:t>
            </w:r>
          </w:p>
          <w:p w:rsidR="00511E2A" w:rsidRPr="00D966C6" w:rsidRDefault="00511E2A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  <w:p w:rsidR="00511E2A" w:rsidRPr="00D966C6" w:rsidRDefault="00511E2A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Грудинка вищого сорту повинна відповідати</w:t>
            </w:r>
            <w:r w:rsidR="0023140B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стандарту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ДСТУ</w:t>
            </w:r>
            <w:r w:rsidR="000B1A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/ТУ/ГСТУ.</w:t>
            </w:r>
          </w:p>
          <w:p w:rsidR="00511E2A" w:rsidRPr="00D966C6" w:rsidRDefault="0023140B" w:rsidP="00D966C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бути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виготовлена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м’язової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тканини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ребрах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свині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яка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представляє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собою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цілий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шматок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прослойками сала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свинини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додаванням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прянощів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та т.п. Смак та запах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приємний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сторонніх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присмаків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запахів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</w:t>
            </w:r>
            <w:r w:rsidRPr="00EC1C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Не допускається продукт з </w:t>
            </w:r>
            <w:proofErr w:type="gramStart"/>
            <w:r w:rsidRPr="00EC1C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</w:t>
            </w:r>
            <w:proofErr w:type="gramEnd"/>
            <w:r w:rsidRPr="00EC1C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існявою, слиззю на оболонці.</w:t>
            </w:r>
          </w:p>
          <w:p w:rsidR="0023140B" w:rsidRPr="00D966C6" w:rsidRDefault="0023140B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  <w:p w:rsidR="00511E2A" w:rsidRPr="00D966C6" w:rsidRDefault="0023140B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Обов’язкова наявність ярликів                  із зазначенням найменування продукту, виробника, дати виготовлення, терміну придатності, умов зберігання, поживної                        та енергетичної цінності,  посилання на нормативно-технічну документацію.</w:t>
            </w:r>
          </w:p>
          <w:p w:rsidR="0023140B" w:rsidRPr="00D966C6" w:rsidRDefault="00C10B92" w:rsidP="00D966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тип упаковки – вакуумна упаковка</w:t>
            </w:r>
          </w:p>
        </w:tc>
        <w:tc>
          <w:tcPr>
            <w:tcW w:w="1323" w:type="dxa"/>
            <w:vAlign w:val="center"/>
            <w:hideMark/>
          </w:tcPr>
          <w:p w:rsidR="00A50187" w:rsidRPr="00D966C6" w:rsidRDefault="00D13C9D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5" w:type="dxa"/>
            <w:vAlign w:val="center"/>
          </w:tcPr>
          <w:p w:rsidR="00A50187" w:rsidRPr="00D966C6" w:rsidRDefault="00106ACE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A50187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</w:t>
            </w: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</w:tcPr>
          <w:p w:rsidR="00A50187" w:rsidRPr="00D966C6" w:rsidRDefault="00A50187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8A00F8" w:rsidRPr="00D966C6" w:rsidTr="00D966C6">
        <w:trPr>
          <w:trHeight w:val="785"/>
          <w:jc w:val="center"/>
        </w:trPr>
        <w:tc>
          <w:tcPr>
            <w:tcW w:w="709" w:type="dxa"/>
            <w:vAlign w:val="center"/>
          </w:tcPr>
          <w:p w:rsidR="008A00F8" w:rsidRPr="00D966C6" w:rsidRDefault="008A00F8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8" w:type="dxa"/>
            <w:vAlign w:val="center"/>
            <w:hideMark/>
          </w:tcPr>
          <w:p w:rsidR="00B2084D" w:rsidRPr="00D966C6" w:rsidRDefault="00A50187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Шпроти в олії, ж/б, вагою</w:t>
            </w:r>
            <w:r w:rsidR="00582C9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не менше  15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 грам</w:t>
            </w:r>
            <w:r w:rsidR="006D56EE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A31AED" w:rsidRPr="00D966C6" w:rsidRDefault="00A31AED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D56EE" w:rsidRPr="00D966C6" w:rsidRDefault="006D56EE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Шпроти повинні відповідати </w:t>
            </w:r>
            <w:r w:rsidR="00582C9E" w:rsidRP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ДСТУ</w:t>
            </w:r>
            <w:r w:rsid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/ТУ/ГСТУ </w:t>
            </w:r>
            <w:r w:rsidRP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Консерви рибні шпроти в олії повинні відповідати нормативному документу на цей вид продукції, Закону України «Про основні принципи та вимоги до безпечності та якості харчових продуктів»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              </w:t>
            </w:r>
            <w:r w:rsidRP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та іншим вимогам законодавства в сфері </w:t>
            </w:r>
            <w:r w:rsidRP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lastRenderedPageBreak/>
              <w:t>обігу харчових продуктів.</w:t>
            </w:r>
          </w:p>
          <w:p w:rsidR="006D56EE" w:rsidRPr="00D966C6" w:rsidRDefault="006D56EE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23140B" w:rsidRPr="00D966C6" w:rsidRDefault="00A31AED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тип</w:t>
            </w:r>
            <w:r w:rsidR="00C10B92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упа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ковки – жерстяна банка</w:t>
            </w:r>
            <w:r w:rsidR="006D56EE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B2084D" w:rsidRPr="00D966C6" w:rsidRDefault="00B2084D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  <w:hideMark/>
          </w:tcPr>
          <w:p w:rsidR="008A00F8" w:rsidRPr="00D966C6" w:rsidRDefault="00D13C9D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395" w:type="dxa"/>
            <w:vAlign w:val="center"/>
          </w:tcPr>
          <w:p w:rsidR="00A50187" w:rsidRPr="00D966C6" w:rsidRDefault="00A50187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00F8" w:rsidRPr="00D966C6" w:rsidRDefault="00106ACE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A50187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</w:t>
            </w: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</w:tcPr>
          <w:p w:rsidR="008A00F8" w:rsidRPr="00D966C6" w:rsidRDefault="00A50187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8A00F8" w:rsidRPr="00582C9E" w:rsidTr="00D966C6">
        <w:trPr>
          <w:trHeight w:val="649"/>
          <w:jc w:val="center"/>
        </w:trPr>
        <w:tc>
          <w:tcPr>
            <w:tcW w:w="709" w:type="dxa"/>
            <w:vAlign w:val="center"/>
          </w:tcPr>
          <w:p w:rsidR="008A00F8" w:rsidRPr="00D966C6" w:rsidRDefault="008A00F8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A00F8" w:rsidRPr="00D966C6" w:rsidRDefault="008A00F8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8" w:type="dxa"/>
            <w:vAlign w:val="center"/>
          </w:tcPr>
          <w:p w:rsidR="00A31AED" w:rsidRPr="00D966C6" w:rsidRDefault="00C20B27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Хрін</w:t>
            </w:r>
            <w:r w:rsidR="00CE0688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буряком</w:t>
            </w:r>
            <w:r w:rsidR="00047232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="008E641E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вагою</w:t>
            </w:r>
            <w:r w:rsidR="00047232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130 грам</w:t>
            </w:r>
            <w:r w:rsidR="006D56EE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A31AED" w:rsidRPr="00D966C6" w:rsidRDefault="00A31AED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263B7" w:rsidRPr="00D966C6" w:rsidRDefault="006D56EE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Хрін з буряком повинен відповідати</w:t>
            </w:r>
          </w:p>
          <w:p w:rsidR="00C15926" w:rsidRPr="00D966C6" w:rsidRDefault="00C47359" w:rsidP="00582C9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ДСТУ</w:t>
            </w:r>
            <w:r w:rsid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/ТУ/ГСТУ. Т</w:t>
            </w:r>
            <w:r w:rsidR="00C15926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ип упаковки - </w:t>
            </w:r>
            <w:proofErr w:type="spellStart"/>
            <w:r w:rsidR="00C15926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дой-пак</w:t>
            </w:r>
            <w:proofErr w:type="spellEnd"/>
            <w:r w:rsidR="00C15926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поліетилен.</w:t>
            </w:r>
          </w:p>
        </w:tc>
        <w:tc>
          <w:tcPr>
            <w:tcW w:w="1323" w:type="dxa"/>
            <w:vAlign w:val="center"/>
          </w:tcPr>
          <w:p w:rsidR="008A00F8" w:rsidRPr="00D966C6" w:rsidRDefault="00D13C9D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5" w:type="dxa"/>
            <w:vAlign w:val="center"/>
          </w:tcPr>
          <w:p w:rsidR="008A00F8" w:rsidRPr="00D966C6" w:rsidRDefault="008A00F8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047232" w:rsidRPr="00D966C6" w:rsidRDefault="00106ACE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047232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</w:t>
            </w: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</w:tcPr>
          <w:p w:rsidR="008A00F8" w:rsidRPr="00D966C6" w:rsidRDefault="00047232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CF53BF" w:rsidRPr="00D966C6" w:rsidTr="00D966C6">
        <w:trPr>
          <w:trHeight w:val="996"/>
          <w:jc w:val="center"/>
        </w:trPr>
        <w:tc>
          <w:tcPr>
            <w:tcW w:w="709" w:type="dxa"/>
            <w:vAlign w:val="center"/>
          </w:tcPr>
          <w:p w:rsidR="00CF53BF" w:rsidRPr="00D966C6" w:rsidRDefault="00CF53BF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8" w:type="dxa"/>
            <w:vAlign w:val="center"/>
          </w:tcPr>
          <w:p w:rsidR="0042755B" w:rsidRPr="00D966C6" w:rsidRDefault="00CF53BF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Цукерки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Choco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White</w:t>
            </w:r>
            <w:proofErr w:type="spellEnd"/>
            <w:r w:rsidR="0010013F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вагою </w:t>
            </w:r>
            <w:r w:rsidRP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0,5 кг</w:t>
            </w:r>
            <w:r w:rsidR="00C15926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C15926" w:rsidRPr="00D966C6" w:rsidRDefault="00C15926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8B3B40" w:rsidRPr="00D966C6" w:rsidRDefault="00C15926" w:rsidP="00582C9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Цукерки повинні відповідати         </w:t>
            </w:r>
            <w:r w:rsidR="0042755B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ДСТУ</w:t>
            </w:r>
            <w:r w:rsid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/ТУ/ГСТУ,</w:t>
            </w:r>
            <w:r w:rsidR="00582C9E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B3B40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тип упаковки -</w:t>
            </w:r>
            <w:r w:rsidR="008B3B40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582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полі</w:t>
            </w:r>
            <w:proofErr w:type="spellEnd"/>
            <w:r w:rsidR="00582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</w:t>
            </w:r>
            <w:proofErr w:type="spellStart"/>
            <w:r w:rsidR="008B3B40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тилено</w:t>
            </w:r>
            <w:proofErr w:type="spellEnd"/>
            <w:r w:rsidR="008B3B40" w:rsidRPr="00D96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вий пакет.</w:t>
            </w:r>
          </w:p>
        </w:tc>
        <w:tc>
          <w:tcPr>
            <w:tcW w:w="1323" w:type="dxa"/>
            <w:vAlign w:val="center"/>
          </w:tcPr>
          <w:p w:rsidR="00CF53BF" w:rsidRPr="00D966C6" w:rsidRDefault="00D13C9D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5" w:type="dxa"/>
            <w:vAlign w:val="center"/>
          </w:tcPr>
          <w:p w:rsidR="00CF53BF" w:rsidRPr="00D966C6" w:rsidRDefault="00106ACE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CF53BF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</w:t>
            </w: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</w:tcPr>
          <w:p w:rsidR="00CF53BF" w:rsidRPr="00D966C6" w:rsidRDefault="008430D5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8A00F8" w:rsidRPr="00D966C6" w:rsidTr="00D966C6">
        <w:trPr>
          <w:trHeight w:val="1300"/>
          <w:jc w:val="center"/>
        </w:trPr>
        <w:tc>
          <w:tcPr>
            <w:tcW w:w="709" w:type="dxa"/>
            <w:vAlign w:val="center"/>
          </w:tcPr>
          <w:p w:rsidR="008A00F8" w:rsidRPr="00D966C6" w:rsidRDefault="008A00F8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8" w:type="dxa"/>
            <w:vAlign w:val="center"/>
          </w:tcPr>
          <w:p w:rsidR="008B3B40" w:rsidRPr="00D966C6" w:rsidRDefault="0010013F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</w:t>
            </w:r>
            <w:r w:rsidR="003D574B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йця</w:t>
            </w:r>
            <w:r w:rsidR="008765F3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курячі</w:t>
            </w:r>
            <w:r w:rsidR="003D574B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</w:t>
            </w:r>
            <w:r w:rsidR="00CA6121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картонному контейнері</w:t>
            </w:r>
            <w:r w:rsidR="003D574B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 10 штук</w:t>
            </w:r>
            <w:r w:rsidR="008B3B40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8B3B40" w:rsidRPr="00D966C6" w:rsidRDefault="008B3B40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B3B40" w:rsidRPr="00D966C6" w:rsidRDefault="008B3B40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категорій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яєць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масою</w:t>
            </w:r>
            <w:proofErr w:type="spellEnd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яйця  категорії </w:t>
            </w:r>
            <w:r w:rsidR="000B1AA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С1.</w:t>
            </w:r>
          </w:p>
          <w:p w:rsidR="008B3B40" w:rsidRPr="00D966C6" w:rsidRDefault="008B3B40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2755B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Повинні відповідати </w:t>
            </w:r>
            <w:r w:rsid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ДСТУ/ТУ/ГСТУ.</w:t>
            </w:r>
            <w:r w:rsidR="0042755B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003D1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003D1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Яйце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куряче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шкарлупі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першої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категорії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(С1),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шкарлупа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бути чиста,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непошкоджена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видимих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змін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слідів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біла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коричнева.</w:t>
            </w:r>
          </w:p>
          <w:p w:rsidR="004003D1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Запах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вмісту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яйця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стороннього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затхлого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гнилісного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запаху.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Білок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щільний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ітлий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прозорий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без будь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яких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сторонніх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домішок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003D1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4003D1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Яйця курячі постачаються у споживчій тарі (пакуванні), що відповідає вимогам чинного законодавства та забезпечує цілісність і збереження шкарлупи яєць, їх товарний вигляд, а також якість та безпеку під час транспортування.</w:t>
            </w:r>
          </w:p>
          <w:p w:rsidR="008B3B40" w:rsidRPr="00D966C6" w:rsidRDefault="008B3B40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B2084D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</w:t>
            </w:r>
            <w:r w:rsidR="008B3B40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ип упаковки - картонний контейнер по 10 штук.</w:t>
            </w:r>
          </w:p>
        </w:tc>
        <w:tc>
          <w:tcPr>
            <w:tcW w:w="1323" w:type="dxa"/>
            <w:vAlign w:val="center"/>
          </w:tcPr>
          <w:p w:rsidR="008A00F8" w:rsidRPr="00D966C6" w:rsidRDefault="00C10B92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051D3"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онтейнер</w:t>
            </w: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79B6"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B2A5C"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містить 10 </w:t>
            </w:r>
            <w:r w:rsidR="000326C6"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  <w:r w:rsidR="005B2A5C"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яєць)</w:t>
            </w:r>
          </w:p>
        </w:tc>
        <w:tc>
          <w:tcPr>
            <w:tcW w:w="1395" w:type="dxa"/>
            <w:vAlign w:val="center"/>
          </w:tcPr>
          <w:p w:rsidR="00271C75" w:rsidRPr="00D966C6" w:rsidRDefault="00271C75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1C75" w:rsidRPr="00D966C6" w:rsidRDefault="00271C75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00F8" w:rsidRPr="00D966C6" w:rsidRDefault="00106ACE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E7640"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4E7640" w:rsidRPr="00D966C6" w:rsidRDefault="004E7640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</w:tcPr>
          <w:p w:rsidR="008A00F8" w:rsidRPr="00D966C6" w:rsidRDefault="003D574B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41A4D" w:rsidRPr="00D966C6" w:rsidTr="00D966C6">
        <w:trPr>
          <w:trHeight w:val="1300"/>
          <w:jc w:val="center"/>
        </w:trPr>
        <w:tc>
          <w:tcPr>
            <w:tcW w:w="709" w:type="dxa"/>
            <w:vAlign w:val="center"/>
          </w:tcPr>
          <w:p w:rsidR="00641A4D" w:rsidRPr="00D966C6" w:rsidRDefault="00641A4D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80C51"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8" w:type="dxa"/>
            <w:vAlign w:val="center"/>
          </w:tcPr>
          <w:p w:rsidR="008263B7" w:rsidRPr="00D966C6" w:rsidRDefault="00641A4D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Сир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твердий</w:t>
            </w:r>
            <w:proofErr w:type="spellEnd"/>
            <w:r w:rsidR="00A618B7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,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="00A618B7"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proofErr w:type="spellStart"/>
            <w:r w:rsidR="003F6528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ирністю</w:t>
            </w:r>
            <w:proofErr w:type="spellEnd"/>
            <w:r w:rsidR="00156440"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</w:t>
            </w:r>
            <w:proofErr w:type="spellStart"/>
            <w:r w:rsidR="00156440"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менше</w:t>
            </w:r>
            <w:proofErr w:type="spellEnd"/>
            <w:r w:rsidR="00156440"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0401C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50 </w:t>
            </w:r>
            <w:r w:rsidR="00156440"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="0050401C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="00A618B7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 xml:space="preserve"> вагою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2</w:t>
            </w:r>
            <w:r w:rsidR="003B75E7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00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грам</w:t>
            </w:r>
            <w:proofErr w:type="spellEnd"/>
            <w:r w:rsidR="004003D1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.</w:t>
            </w:r>
          </w:p>
          <w:p w:rsidR="0042755B" w:rsidRPr="00D966C6" w:rsidRDefault="0042755B" w:rsidP="00D966C6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  <w:p w:rsidR="004003D1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Товар повинен відповідати </w:t>
            </w:r>
            <w:r w:rsidR="00582C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ДСТУ/ТУ/ГСТУ.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003D1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Зовнішній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вигляд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поверхня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чиста,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івна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механічних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ушкоджень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сторонніх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нашарувань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товстого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поверхневого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шару,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покрита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захисним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покривом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щільно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прилягає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поверхні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сиру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Смак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запах -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специфічний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сирний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сторонніх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присмаків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запахів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Дозволено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присмаку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пастеризації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Колі</w:t>
            </w:r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однорідний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всією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масою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хімікатів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консервантів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стороннього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запаху та смаку, без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цвілі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існяви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гнилі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4003D1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8263B7" w:rsidRPr="00D966C6" w:rsidRDefault="004003D1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 xml:space="preserve">Тип упаковки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 xml:space="preserve">-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вакуум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на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упаков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ка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323" w:type="dxa"/>
            <w:vAlign w:val="center"/>
          </w:tcPr>
          <w:p w:rsidR="00D966C6" w:rsidRDefault="00D966C6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1A4D" w:rsidRPr="00D966C6" w:rsidRDefault="002F7580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5" w:type="dxa"/>
            <w:vAlign w:val="center"/>
          </w:tcPr>
          <w:p w:rsidR="004E7640" w:rsidRPr="00D966C6" w:rsidRDefault="004E7640" w:rsidP="00D966C6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40" w:rsidRPr="00D966C6" w:rsidRDefault="004E7640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40" w:rsidRPr="00D966C6" w:rsidRDefault="00106ACE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E7640"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641A4D" w:rsidRPr="00D966C6" w:rsidRDefault="00641A4D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</w:tcPr>
          <w:p w:rsidR="00641A4D" w:rsidRPr="00D966C6" w:rsidRDefault="004E7640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0513" w:rsidRPr="00D966C6" w:rsidTr="00D966C6">
        <w:trPr>
          <w:trHeight w:val="703"/>
          <w:jc w:val="center"/>
        </w:trPr>
        <w:tc>
          <w:tcPr>
            <w:tcW w:w="709" w:type="dxa"/>
            <w:vAlign w:val="center"/>
          </w:tcPr>
          <w:p w:rsidR="00E20513" w:rsidRPr="00D966C6" w:rsidRDefault="00E20513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480C51" w:rsidRPr="00D96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8" w:type="dxa"/>
            <w:vAlign w:val="center"/>
          </w:tcPr>
          <w:p w:rsidR="00E27C4A" w:rsidRPr="00D966C6" w:rsidRDefault="00301988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Паски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вагою по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 кг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борошна вищого сорту, пакування штучне з вітальною листівкою, (зразок листівки буде надано переможцю)</w:t>
            </w:r>
            <w:r w:rsidR="00E27C4A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E27C4A" w:rsidRPr="00D966C6" w:rsidRDefault="00E27C4A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A26196" w:rsidRPr="00D966C6" w:rsidRDefault="00E27C4A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Повинен відповідати ДСТУ</w:t>
            </w:r>
            <w:r w:rsidR="000B1A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/ТУ/ГСТ. </w:t>
            </w: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7C4A" w:rsidRPr="00D966C6" w:rsidRDefault="00E27C4A" w:rsidP="00D966C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Товар повинен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термін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придатності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момент поставки Замовнику не менше 90% від загального терміну зберігання. Товар при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поставці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повинен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супроводжуватись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декларацією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виробника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якісними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посвідченнями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накладною та іншими документами, які </w:t>
            </w:r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ідчать про його походження та якість. Товар </w:t>
            </w:r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повинен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бути упакований Постачальником таким чином, щоб не допустити псування, забруднення чи втрати його зовнішнього вигляду. Товар повинен передаватися Замовнику в упаковці </w:t>
            </w:r>
            <w:proofErr w:type="gram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ідприємства виробника, яка не повинна бути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деформованою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пошкодженою</w:t>
            </w:r>
            <w:proofErr w:type="spellEnd"/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966C6" w:rsidRDefault="00D966C6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966C6" w:rsidRDefault="00D966C6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966C6" w:rsidRDefault="00D966C6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C1CA7" w:rsidRDefault="00EC1CA7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20513" w:rsidRPr="00D966C6" w:rsidRDefault="00D13C9D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5" w:type="dxa"/>
            <w:vAlign w:val="center"/>
          </w:tcPr>
          <w:p w:rsidR="002F7580" w:rsidRPr="00D966C6" w:rsidRDefault="002F7580" w:rsidP="00D966C6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7580" w:rsidRPr="00D966C6" w:rsidRDefault="002F7580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66C6" w:rsidRDefault="00D966C6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966C6" w:rsidRDefault="00D966C6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966C6" w:rsidRDefault="00D966C6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F7580" w:rsidRPr="00D966C6" w:rsidRDefault="00106ACE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2F7580"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</w:t>
            </w:r>
          </w:p>
          <w:p w:rsidR="00E20513" w:rsidRPr="00D966C6" w:rsidRDefault="00E20513" w:rsidP="00D966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000000"/>
            </w:tcBorders>
            <w:vAlign w:val="center"/>
          </w:tcPr>
          <w:p w:rsidR="00D966C6" w:rsidRDefault="00D966C6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966C6" w:rsidRDefault="00D966C6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966C6" w:rsidRDefault="00D966C6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966C6" w:rsidRDefault="00D966C6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20513" w:rsidRPr="00D966C6" w:rsidRDefault="003F6528" w:rsidP="00D966C6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66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</w:tbl>
    <w:p w:rsidR="00106ACE" w:rsidRDefault="00106ACE" w:rsidP="003A5214">
      <w:pPr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43311" w:rsidRPr="00EC1CA7" w:rsidRDefault="00D43311" w:rsidP="00D43311">
      <w:pPr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Для </w:t>
      </w:r>
      <w:proofErr w:type="spellStart"/>
      <w:proofErr w:type="gram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ідтвердження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відповідності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пропозиції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Учасника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технічним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якісним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кількісним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іншим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вимогам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 предмета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закупівлі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Учаснику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необхідно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надати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наступні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документи</w:t>
      </w:r>
      <w:proofErr w:type="spellEnd"/>
      <w:r w:rsidRPr="00EC1CA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D43311" w:rsidRPr="00EC1CA7" w:rsidRDefault="00D43311" w:rsidP="00D4331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1CA7">
        <w:rPr>
          <w:rFonts w:ascii="Times New Roman" w:hAnsi="Times New Roman" w:cs="Times New Roman"/>
          <w:color w:val="auto"/>
          <w:sz w:val="24"/>
          <w:szCs w:val="24"/>
          <w:lang w:val="uk-UA"/>
        </w:rPr>
        <w:t>1. В складі тендерної пропозиції - п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ояснювальн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записк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описом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якісних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функціональних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  товару,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екологічної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чистоти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країну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походження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назва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країна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походження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повна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назва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виробника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адреса;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основні</w:t>
      </w:r>
      <w:proofErr w:type="spellEnd"/>
      <w:r w:rsidRPr="00D433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CA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характеристики, у тому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числі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відповідність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товару стандартам,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відповідними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ДСТУ; вид </w:t>
      </w:r>
      <w:proofErr w:type="spellStart"/>
      <w:r w:rsidRPr="00EC1CA7">
        <w:rPr>
          <w:rFonts w:ascii="Times New Roman" w:hAnsi="Times New Roman" w:cs="Times New Roman"/>
          <w:color w:val="auto"/>
          <w:sz w:val="24"/>
          <w:szCs w:val="24"/>
        </w:rPr>
        <w:t>розфасовки</w:t>
      </w:r>
      <w:proofErr w:type="spellEnd"/>
      <w:r w:rsidRPr="00EC1CA7">
        <w:rPr>
          <w:rFonts w:ascii="Times New Roman" w:hAnsi="Times New Roman" w:cs="Times New Roman"/>
          <w:color w:val="auto"/>
          <w:sz w:val="24"/>
          <w:szCs w:val="24"/>
        </w:rPr>
        <w:t xml:space="preserve"> (тару)).</w:t>
      </w:r>
    </w:p>
    <w:p w:rsidR="00D43311" w:rsidRPr="00EC1CA7" w:rsidRDefault="00D43311" w:rsidP="00D43311">
      <w:pPr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 w:eastAsia="zh-CN"/>
        </w:rPr>
      </w:pPr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</w:t>
      </w:r>
      <w:r w:rsidRPr="00EC1CA7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val="uk-UA" w:eastAsia="zh-CN"/>
        </w:rPr>
        <w:t>При поставці товару надаються о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ригінал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val="uk-UA" w:eastAsia="zh-CN"/>
        </w:rPr>
        <w:t>и</w:t>
      </w:r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(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або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копі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val="uk-UA" w:eastAsia="zh-CN"/>
        </w:rPr>
        <w:t>ї</w:t>
      </w:r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)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декларації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виробника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або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сертифікату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посвідчення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якості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на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кожний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продукт,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що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входить до складу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запропонованого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учасником</w:t>
      </w:r>
      <w:proofErr w:type="spellEnd"/>
      <w:r w:rsidRPr="00EC1CA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продуктового набору.</w:t>
      </w:r>
    </w:p>
    <w:p w:rsidR="00106ACE" w:rsidRPr="00D43311" w:rsidRDefault="00106ACE" w:rsidP="003A5214">
      <w:pPr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06ACE" w:rsidRPr="00D43311" w:rsidSect="001D03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8C2"/>
    <w:multiLevelType w:val="multilevel"/>
    <w:tmpl w:val="E1760C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194C32A5"/>
    <w:multiLevelType w:val="hybridMultilevel"/>
    <w:tmpl w:val="F0D6EE8A"/>
    <w:lvl w:ilvl="0" w:tplc="BC1E4A5A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3A52"/>
    <w:multiLevelType w:val="multilevel"/>
    <w:tmpl w:val="2F24E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F6666"/>
    <w:multiLevelType w:val="hybridMultilevel"/>
    <w:tmpl w:val="FD72CC0E"/>
    <w:lvl w:ilvl="0" w:tplc="55D4152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E7652"/>
    <w:multiLevelType w:val="hybridMultilevel"/>
    <w:tmpl w:val="E156207C"/>
    <w:lvl w:ilvl="0" w:tplc="486C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64CD"/>
    <w:multiLevelType w:val="multilevel"/>
    <w:tmpl w:val="6C240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B91"/>
    <w:rsid w:val="000025FD"/>
    <w:rsid w:val="00007F0B"/>
    <w:rsid w:val="0001109F"/>
    <w:rsid w:val="0001136F"/>
    <w:rsid w:val="00016C2C"/>
    <w:rsid w:val="00025F5E"/>
    <w:rsid w:val="000326C6"/>
    <w:rsid w:val="00044E0D"/>
    <w:rsid w:val="00047232"/>
    <w:rsid w:val="00062995"/>
    <w:rsid w:val="00067B25"/>
    <w:rsid w:val="0007586F"/>
    <w:rsid w:val="000855F6"/>
    <w:rsid w:val="00090FF1"/>
    <w:rsid w:val="00091F21"/>
    <w:rsid w:val="000A6790"/>
    <w:rsid w:val="000B01B6"/>
    <w:rsid w:val="000B1AA1"/>
    <w:rsid w:val="000B4400"/>
    <w:rsid w:val="000F4DDA"/>
    <w:rsid w:val="000F64E5"/>
    <w:rsid w:val="0010013F"/>
    <w:rsid w:val="00106ACE"/>
    <w:rsid w:val="001253F0"/>
    <w:rsid w:val="001330B3"/>
    <w:rsid w:val="0013441E"/>
    <w:rsid w:val="0013612F"/>
    <w:rsid w:val="00156440"/>
    <w:rsid w:val="001641CF"/>
    <w:rsid w:val="001655D1"/>
    <w:rsid w:val="0016715B"/>
    <w:rsid w:val="001823D1"/>
    <w:rsid w:val="0018632D"/>
    <w:rsid w:val="001B111F"/>
    <w:rsid w:val="001D03FE"/>
    <w:rsid w:val="001E0F8E"/>
    <w:rsid w:val="001E57AA"/>
    <w:rsid w:val="001F4FF1"/>
    <w:rsid w:val="00200273"/>
    <w:rsid w:val="00200574"/>
    <w:rsid w:val="00204C4C"/>
    <w:rsid w:val="002051D3"/>
    <w:rsid w:val="00211E44"/>
    <w:rsid w:val="00222BC1"/>
    <w:rsid w:val="00223756"/>
    <w:rsid w:val="00230FEF"/>
    <w:rsid w:val="0023140B"/>
    <w:rsid w:val="00235430"/>
    <w:rsid w:val="002513B8"/>
    <w:rsid w:val="00254B91"/>
    <w:rsid w:val="002571B6"/>
    <w:rsid w:val="002638F4"/>
    <w:rsid w:val="00271C75"/>
    <w:rsid w:val="002766B7"/>
    <w:rsid w:val="00280E3D"/>
    <w:rsid w:val="00282C22"/>
    <w:rsid w:val="002A0797"/>
    <w:rsid w:val="002F0387"/>
    <w:rsid w:val="002F2034"/>
    <w:rsid w:val="002F2DF9"/>
    <w:rsid w:val="002F3739"/>
    <w:rsid w:val="002F7580"/>
    <w:rsid w:val="00301988"/>
    <w:rsid w:val="00304A07"/>
    <w:rsid w:val="00314915"/>
    <w:rsid w:val="00331525"/>
    <w:rsid w:val="00333077"/>
    <w:rsid w:val="003361CE"/>
    <w:rsid w:val="003402E8"/>
    <w:rsid w:val="003425CD"/>
    <w:rsid w:val="00346769"/>
    <w:rsid w:val="0034714F"/>
    <w:rsid w:val="00380B29"/>
    <w:rsid w:val="00385C7B"/>
    <w:rsid w:val="003A0B13"/>
    <w:rsid w:val="003A5214"/>
    <w:rsid w:val="003B1FC1"/>
    <w:rsid w:val="003B510B"/>
    <w:rsid w:val="003B75E7"/>
    <w:rsid w:val="003D574B"/>
    <w:rsid w:val="003D7A5D"/>
    <w:rsid w:val="003F0C46"/>
    <w:rsid w:val="003F6528"/>
    <w:rsid w:val="004003D1"/>
    <w:rsid w:val="00405537"/>
    <w:rsid w:val="0042755B"/>
    <w:rsid w:val="00427F99"/>
    <w:rsid w:val="004550E9"/>
    <w:rsid w:val="00457A01"/>
    <w:rsid w:val="00457F17"/>
    <w:rsid w:val="0046759B"/>
    <w:rsid w:val="00480C51"/>
    <w:rsid w:val="00483351"/>
    <w:rsid w:val="004842C4"/>
    <w:rsid w:val="00493D19"/>
    <w:rsid w:val="004979B6"/>
    <w:rsid w:val="004B3FA2"/>
    <w:rsid w:val="004B6F18"/>
    <w:rsid w:val="004E067B"/>
    <w:rsid w:val="004E7640"/>
    <w:rsid w:val="005009E0"/>
    <w:rsid w:val="0050401C"/>
    <w:rsid w:val="00511E2A"/>
    <w:rsid w:val="00521A4E"/>
    <w:rsid w:val="00521ACE"/>
    <w:rsid w:val="00533137"/>
    <w:rsid w:val="00536779"/>
    <w:rsid w:val="0054397C"/>
    <w:rsid w:val="00547F3A"/>
    <w:rsid w:val="00556C96"/>
    <w:rsid w:val="00570A42"/>
    <w:rsid w:val="005756BA"/>
    <w:rsid w:val="00582C9E"/>
    <w:rsid w:val="005B2A5C"/>
    <w:rsid w:val="005C00A9"/>
    <w:rsid w:val="005C606A"/>
    <w:rsid w:val="005C6CBE"/>
    <w:rsid w:val="005C7A81"/>
    <w:rsid w:val="005D27B9"/>
    <w:rsid w:val="005E01A9"/>
    <w:rsid w:val="005F7091"/>
    <w:rsid w:val="005F7539"/>
    <w:rsid w:val="00612DFA"/>
    <w:rsid w:val="00613BFE"/>
    <w:rsid w:val="00620161"/>
    <w:rsid w:val="00621726"/>
    <w:rsid w:val="00622E16"/>
    <w:rsid w:val="0062410E"/>
    <w:rsid w:val="0063159A"/>
    <w:rsid w:val="00641A4D"/>
    <w:rsid w:val="00657DDC"/>
    <w:rsid w:val="00666C15"/>
    <w:rsid w:val="00666DA8"/>
    <w:rsid w:val="00687A46"/>
    <w:rsid w:val="006B78E8"/>
    <w:rsid w:val="006D1AF2"/>
    <w:rsid w:val="006D56EE"/>
    <w:rsid w:val="006F11BD"/>
    <w:rsid w:val="00700DA9"/>
    <w:rsid w:val="00703410"/>
    <w:rsid w:val="0071166C"/>
    <w:rsid w:val="00716AF7"/>
    <w:rsid w:val="00732EAD"/>
    <w:rsid w:val="00745BEC"/>
    <w:rsid w:val="00750C59"/>
    <w:rsid w:val="00765449"/>
    <w:rsid w:val="00766504"/>
    <w:rsid w:val="007876B1"/>
    <w:rsid w:val="00791680"/>
    <w:rsid w:val="00792E7B"/>
    <w:rsid w:val="00796972"/>
    <w:rsid w:val="007A27C3"/>
    <w:rsid w:val="007B2B91"/>
    <w:rsid w:val="007C2654"/>
    <w:rsid w:val="007C68C8"/>
    <w:rsid w:val="007D49C3"/>
    <w:rsid w:val="007D6814"/>
    <w:rsid w:val="007F6CD6"/>
    <w:rsid w:val="0080034A"/>
    <w:rsid w:val="00800A4B"/>
    <w:rsid w:val="00806B93"/>
    <w:rsid w:val="00815F93"/>
    <w:rsid w:val="008263B7"/>
    <w:rsid w:val="0082645A"/>
    <w:rsid w:val="0083272C"/>
    <w:rsid w:val="0083622D"/>
    <w:rsid w:val="008430D5"/>
    <w:rsid w:val="0086188D"/>
    <w:rsid w:val="008624A8"/>
    <w:rsid w:val="00872230"/>
    <w:rsid w:val="00873E33"/>
    <w:rsid w:val="008765F3"/>
    <w:rsid w:val="0088123B"/>
    <w:rsid w:val="008839BC"/>
    <w:rsid w:val="00893E53"/>
    <w:rsid w:val="008A00F8"/>
    <w:rsid w:val="008A1819"/>
    <w:rsid w:val="008B3B40"/>
    <w:rsid w:val="008B3F71"/>
    <w:rsid w:val="008D479F"/>
    <w:rsid w:val="008D4BC9"/>
    <w:rsid w:val="008E50EC"/>
    <w:rsid w:val="008E6017"/>
    <w:rsid w:val="008E641E"/>
    <w:rsid w:val="008F496F"/>
    <w:rsid w:val="00900236"/>
    <w:rsid w:val="00905419"/>
    <w:rsid w:val="00937D16"/>
    <w:rsid w:val="00944273"/>
    <w:rsid w:val="009473E5"/>
    <w:rsid w:val="009538DD"/>
    <w:rsid w:val="009720DD"/>
    <w:rsid w:val="0097761A"/>
    <w:rsid w:val="009A1FC2"/>
    <w:rsid w:val="009B02D8"/>
    <w:rsid w:val="009B262E"/>
    <w:rsid w:val="009C5378"/>
    <w:rsid w:val="009C6470"/>
    <w:rsid w:val="009D3EAE"/>
    <w:rsid w:val="009F39D2"/>
    <w:rsid w:val="009F4176"/>
    <w:rsid w:val="009F6973"/>
    <w:rsid w:val="00A0116E"/>
    <w:rsid w:val="00A05DF8"/>
    <w:rsid w:val="00A20782"/>
    <w:rsid w:val="00A24238"/>
    <w:rsid w:val="00A26196"/>
    <w:rsid w:val="00A31AED"/>
    <w:rsid w:val="00A325FA"/>
    <w:rsid w:val="00A50187"/>
    <w:rsid w:val="00A52B5C"/>
    <w:rsid w:val="00A52DF6"/>
    <w:rsid w:val="00A55310"/>
    <w:rsid w:val="00A618B7"/>
    <w:rsid w:val="00A84EDD"/>
    <w:rsid w:val="00A87B6C"/>
    <w:rsid w:val="00AA4DD4"/>
    <w:rsid w:val="00AA5728"/>
    <w:rsid w:val="00AB1F5E"/>
    <w:rsid w:val="00AB688D"/>
    <w:rsid w:val="00AC3442"/>
    <w:rsid w:val="00AC597A"/>
    <w:rsid w:val="00AD4828"/>
    <w:rsid w:val="00B10F69"/>
    <w:rsid w:val="00B2084D"/>
    <w:rsid w:val="00B213C3"/>
    <w:rsid w:val="00B26C56"/>
    <w:rsid w:val="00B508DB"/>
    <w:rsid w:val="00B67798"/>
    <w:rsid w:val="00B74D68"/>
    <w:rsid w:val="00B81D15"/>
    <w:rsid w:val="00B9334C"/>
    <w:rsid w:val="00B942AD"/>
    <w:rsid w:val="00B9769D"/>
    <w:rsid w:val="00BA2CCA"/>
    <w:rsid w:val="00BA3BBE"/>
    <w:rsid w:val="00BA7D9B"/>
    <w:rsid w:val="00BB4E3F"/>
    <w:rsid w:val="00BC3745"/>
    <w:rsid w:val="00BD1C16"/>
    <w:rsid w:val="00BD21BE"/>
    <w:rsid w:val="00BD2A8F"/>
    <w:rsid w:val="00C045AE"/>
    <w:rsid w:val="00C10782"/>
    <w:rsid w:val="00C10B92"/>
    <w:rsid w:val="00C15926"/>
    <w:rsid w:val="00C20B27"/>
    <w:rsid w:val="00C36B32"/>
    <w:rsid w:val="00C40AC1"/>
    <w:rsid w:val="00C41B15"/>
    <w:rsid w:val="00C47359"/>
    <w:rsid w:val="00C64D75"/>
    <w:rsid w:val="00C66BB1"/>
    <w:rsid w:val="00C71751"/>
    <w:rsid w:val="00C75C9D"/>
    <w:rsid w:val="00C76C94"/>
    <w:rsid w:val="00C961DA"/>
    <w:rsid w:val="00CA6121"/>
    <w:rsid w:val="00CB3FFA"/>
    <w:rsid w:val="00CC211E"/>
    <w:rsid w:val="00CE0688"/>
    <w:rsid w:val="00CE1DD2"/>
    <w:rsid w:val="00CF53BF"/>
    <w:rsid w:val="00CF7915"/>
    <w:rsid w:val="00D010FE"/>
    <w:rsid w:val="00D05692"/>
    <w:rsid w:val="00D07832"/>
    <w:rsid w:val="00D12E65"/>
    <w:rsid w:val="00D13C9D"/>
    <w:rsid w:val="00D1754E"/>
    <w:rsid w:val="00D178D2"/>
    <w:rsid w:val="00D34913"/>
    <w:rsid w:val="00D43311"/>
    <w:rsid w:val="00D56D28"/>
    <w:rsid w:val="00D647AE"/>
    <w:rsid w:val="00D723D3"/>
    <w:rsid w:val="00D737C5"/>
    <w:rsid w:val="00D80CFB"/>
    <w:rsid w:val="00D8133D"/>
    <w:rsid w:val="00D84656"/>
    <w:rsid w:val="00D938E0"/>
    <w:rsid w:val="00D966C6"/>
    <w:rsid w:val="00DA436D"/>
    <w:rsid w:val="00DA5402"/>
    <w:rsid w:val="00DB1569"/>
    <w:rsid w:val="00DB2A82"/>
    <w:rsid w:val="00DD682C"/>
    <w:rsid w:val="00DF5DAE"/>
    <w:rsid w:val="00E028A1"/>
    <w:rsid w:val="00E20142"/>
    <w:rsid w:val="00E20513"/>
    <w:rsid w:val="00E22FB0"/>
    <w:rsid w:val="00E233EF"/>
    <w:rsid w:val="00E27C4A"/>
    <w:rsid w:val="00E449C9"/>
    <w:rsid w:val="00EC1CA7"/>
    <w:rsid w:val="00ED0033"/>
    <w:rsid w:val="00EE050A"/>
    <w:rsid w:val="00EF7CB9"/>
    <w:rsid w:val="00F037A9"/>
    <w:rsid w:val="00F05150"/>
    <w:rsid w:val="00F41B9E"/>
    <w:rsid w:val="00F6175F"/>
    <w:rsid w:val="00F63AAB"/>
    <w:rsid w:val="00F77BD8"/>
    <w:rsid w:val="00F77D1B"/>
    <w:rsid w:val="00F92169"/>
    <w:rsid w:val="00FA4F8E"/>
    <w:rsid w:val="00FB1C53"/>
    <w:rsid w:val="00FB206E"/>
    <w:rsid w:val="00FB2506"/>
    <w:rsid w:val="00FB45A9"/>
    <w:rsid w:val="00FC5A15"/>
    <w:rsid w:val="00FC71F4"/>
    <w:rsid w:val="00FE24BC"/>
    <w:rsid w:val="00FE2918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9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D0569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a0"/>
    <w:rsid w:val="005F7091"/>
  </w:style>
  <w:style w:type="paragraph" w:styleId="a8">
    <w:name w:val="No Spacing"/>
    <w:uiPriority w:val="1"/>
    <w:qFormat/>
    <w:rsid w:val="00331525"/>
    <w:rPr>
      <w:rFonts w:eastAsia="Times New Roman"/>
      <w:sz w:val="22"/>
      <w:szCs w:val="22"/>
      <w:lang w:val="uk-UA" w:eastAsia="uk-UA"/>
    </w:rPr>
  </w:style>
  <w:style w:type="character" w:customStyle="1" w:styleId="2Exact">
    <w:name w:val="Основний текст (2) Exact"/>
    <w:rsid w:val="00331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9">
    <w:name w:val="Hyperlink"/>
    <w:rsid w:val="0046759B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46759B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customStyle="1" w:styleId="Standard">
    <w:name w:val="Standard"/>
    <w:rsid w:val="0046759B"/>
    <w:pPr>
      <w:suppressAutoHyphens/>
      <w:spacing w:after="200" w:line="27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character" w:styleId="aa">
    <w:name w:val="Emphasis"/>
    <w:qFormat/>
    <w:rsid w:val="0046759B"/>
    <w:rPr>
      <w:i/>
      <w:iCs/>
    </w:rPr>
  </w:style>
  <w:style w:type="paragraph" w:customStyle="1" w:styleId="1">
    <w:name w:val="Без інтервалів1"/>
    <w:rsid w:val="0046759B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ab">
    <w:name w:val="FollowedHyperlink"/>
    <w:basedOn w:val="a0"/>
    <w:uiPriority w:val="99"/>
    <w:semiHidden/>
    <w:unhideWhenUsed/>
    <w:rsid w:val="00EE050A"/>
    <w:rPr>
      <w:color w:val="954F72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A87B6C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basedOn w:val="a0"/>
    <w:link w:val="ac"/>
    <w:uiPriority w:val="30"/>
    <w:rsid w:val="00A87B6C"/>
    <w:rPr>
      <w:rFonts w:ascii="Arial" w:eastAsia="Arial" w:hAnsi="Arial" w:cs="Arial"/>
      <w:b/>
      <w:bCs/>
      <w:i/>
      <w:iCs/>
      <w:color w:val="5B9BD5"/>
      <w:lang w:eastAsia="ru-RU"/>
    </w:rPr>
  </w:style>
  <w:style w:type="paragraph" w:styleId="ae">
    <w:name w:val="Normal (Web)"/>
    <w:basedOn w:val="a"/>
    <w:uiPriority w:val="99"/>
    <w:unhideWhenUsed/>
    <w:rsid w:val="0065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FB4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B45A9"/>
    <w:rPr>
      <w:rFonts w:ascii="Courier New" w:eastAsia="Times New Roman" w:hAnsi="Courier New" w:cs="Courier New"/>
    </w:rPr>
  </w:style>
  <w:style w:type="paragraph" w:customStyle="1" w:styleId="newsdetailcardtext">
    <w:name w:val="newsdetailcard__text"/>
    <w:basedOn w:val="a"/>
    <w:rsid w:val="0006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relativestructuredetailfact">
    <w:name w:val="relativestructuredetail__fact"/>
    <w:basedOn w:val="a"/>
    <w:rsid w:val="0006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5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8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7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80094-10DB-439C-AAD0-F2740C3E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cp:lastPrinted>2024-03-13T13:44:00Z</cp:lastPrinted>
  <dcterms:created xsi:type="dcterms:W3CDTF">2024-03-13T13:45:00Z</dcterms:created>
  <dcterms:modified xsi:type="dcterms:W3CDTF">2024-03-13T14:38:00Z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d2b74ea26f4d2a61088abfb62bab488bcab357dfcb74fd69f8b31df0b3e0cf22</vt:lpwstr>
  </property>
</Properties>
</file>