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2" w:rsidRPr="001F3CA5" w:rsidRDefault="008F2E82" w:rsidP="008F2E82">
      <w:pPr>
        <w:pStyle w:val="a3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1F3CA5">
        <w:rPr>
          <w:rFonts w:ascii="Times New Roman" w:hAnsi="Times New Roman"/>
          <w:b/>
          <w:sz w:val="24"/>
          <w:szCs w:val="24"/>
          <w:lang w:eastAsia="uk-UA"/>
        </w:rPr>
        <w:t>Додаток № 2 до тендерної документації</w:t>
      </w:r>
    </w:p>
    <w:p w:rsidR="008F2E82" w:rsidRPr="001F3CA5" w:rsidRDefault="008F2E82" w:rsidP="008F2E82">
      <w:pPr>
        <w:pStyle w:val="a3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</w:t>
      </w:r>
      <w:r w:rsidRPr="001F3CA5">
        <w:rPr>
          <w:rFonts w:ascii="Times New Roman" w:hAnsi="Times New Roman"/>
          <w:b/>
          <w:sz w:val="24"/>
          <w:szCs w:val="24"/>
          <w:lang w:eastAsia="uk-UA"/>
        </w:rPr>
        <w:t>Інформація про технічні, якісні та кількісні характеристики предмета закупівлі.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8F2E82" w:rsidRPr="005D2C92" w:rsidTr="004B4E53">
        <w:trPr>
          <w:trHeight w:val="522"/>
          <w:jc w:val="center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E82" w:rsidRPr="00765BAA" w:rsidRDefault="008F2E82" w:rsidP="004B4E5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5BAA">
              <w:rPr>
                <w:rFonts w:ascii="Times New Roman" w:hAnsi="Times New Roman"/>
                <w:b/>
                <w:i/>
                <w:sz w:val="24"/>
                <w:szCs w:val="24"/>
              </w:rPr>
              <w:t>ДК</w:t>
            </w:r>
            <w:proofErr w:type="spellEnd"/>
            <w:r w:rsidRPr="00765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021:2015  код </w:t>
            </w:r>
            <w:r w:rsidRPr="00F97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10000-3 Тверде паливо</w:t>
            </w:r>
          </w:p>
          <w:p w:rsidR="008F2E82" w:rsidRPr="00765BAA" w:rsidRDefault="008F2E82" w:rsidP="004B4E5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(Паливні  брикети з  лушпиння  соняшника типу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або еквівалент</w:t>
            </w:r>
            <w:r w:rsidRPr="00765BA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F2E82" w:rsidRPr="002D6AE9" w:rsidRDefault="008F2E82" w:rsidP="004B4E53">
            <w:pPr>
              <w:widowControl w:val="0"/>
              <w:spacing w:after="0" w:line="240" w:lineRule="auto"/>
              <w:ind w:firstLine="258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E9">
              <w:rPr>
                <w:rFonts w:ascii="Times New Roman" w:hAnsi="Times New Roman"/>
                <w:sz w:val="24"/>
                <w:szCs w:val="24"/>
              </w:rPr>
              <w:t>Кількість: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91</w:t>
            </w:r>
            <w:r w:rsidRPr="0088670D">
              <w:rPr>
                <w:rFonts w:ascii="Times New Roman" w:hAnsi="Times New Roman"/>
                <w:b/>
                <w:sz w:val="24"/>
                <w:szCs w:val="24"/>
              </w:rPr>
              <w:t>тон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8F2E82" w:rsidRDefault="008F2E82" w:rsidP="004B4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E82" w:rsidRPr="00DA2B87" w:rsidRDefault="008F2E82" w:rsidP="004B4E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A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до </w:t>
            </w:r>
            <w:r w:rsidRPr="002D6AE9">
              <w:rPr>
                <w:rFonts w:ascii="Times New Roman" w:hAnsi="Times New Roman"/>
                <w:b/>
                <w:sz w:val="24"/>
                <w:szCs w:val="24"/>
              </w:rPr>
              <w:t xml:space="preserve"> паливних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брикетів з лушпиння соняшника типу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або еквівалент</w:t>
            </w:r>
          </w:p>
          <w:p w:rsidR="008F2E82" w:rsidRPr="002D6AE9" w:rsidRDefault="008F2E82" w:rsidP="004B4E5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2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9"/>
              <w:gridCol w:w="2625"/>
              <w:gridCol w:w="1701"/>
              <w:gridCol w:w="1559"/>
              <w:gridCol w:w="1914"/>
              <w:gridCol w:w="1489"/>
            </w:tblGrid>
            <w:tr w:rsidR="008F2E82" w:rsidRPr="002D6AE9" w:rsidTr="004B4E53">
              <w:trPr>
                <w:trHeight w:val="997"/>
              </w:trPr>
              <w:tc>
                <w:tcPr>
                  <w:tcW w:w="639" w:type="dxa"/>
                </w:tcPr>
                <w:p w:rsidR="008F2E82" w:rsidRPr="00F0785D" w:rsidRDefault="008F2E82" w:rsidP="004B4E53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№ з/п</w:t>
                  </w:r>
                </w:p>
              </w:tc>
              <w:tc>
                <w:tcPr>
                  <w:tcW w:w="2625" w:type="dxa"/>
                </w:tcPr>
                <w:p w:rsidR="008F2E82" w:rsidRPr="00F0785D" w:rsidRDefault="008F2E82" w:rsidP="004B4E53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Найменування</w:t>
                  </w:r>
                </w:p>
              </w:tc>
              <w:tc>
                <w:tcPr>
                  <w:tcW w:w="1701" w:type="dxa"/>
                </w:tcPr>
                <w:p w:rsidR="008F2E82" w:rsidRPr="00F0785D" w:rsidRDefault="008F2E82" w:rsidP="004B4E53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Нижня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 теплота згорання, не менше, </w:t>
                  </w: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МДж</w:t>
                  </w:r>
                  <w:proofErr w:type="spellEnd"/>
                  <w:r w:rsidRPr="00F0785D">
                    <w:rPr>
                      <w:rFonts w:ascii="Times New Roman" w:hAnsi="Times New Roman"/>
                      <w:szCs w:val="16"/>
                    </w:rPr>
                    <w:t>/кг</w:t>
                  </w:r>
                </w:p>
              </w:tc>
              <w:tc>
                <w:tcPr>
                  <w:tcW w:w="1559" w:type="dxa"/>
                </w:tcPr>
                <w:p w:rsidR="008F2E82" w:rsidRPr="00F0785D" w:rsidRDefault="008F2E82" w:rsidP="004B4E53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 xml:space="preserve">Волога, %, не більше </w:t>
                  </w:r>
                </w:p>
              </w:tc>
              <w:tc>
                <w:tcPr>
                  <w:tcW w:w="1914" w:type="dxa"/>
                </w:tcPr>
                <w:p w:rsidR="008F2E82" w:rsidRPr="00F0785D" w:rsidRDefault="008F2E82" w:rsidP="004B4E53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Зольність, %, не більше</w:t>
                  </w:r>
                </w:p>
              </w:tc>
              <w:tc>
                <w:tcPr>
                  <w:tcW w:w="1489" w:type="dxa"/>
                </w:tcPr>
                <w:p w:rsidR="008F2E82" w:rsidRPr="00F0785D" w:rsidRDefault="008F2E82" w:rsidP="004B4E53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 xml:space="preserve">Сірка, %, не більше </w:t>
                  </w:r>
                </w:p>
              </w:tc>
            </w:tr>
            <w:tr w:rsidR="008F2E82" w:rsidRPr="002D6AE9" w:rsidTr="004B4E53">
              <w:trPr>
                <w:trHeight w:val="977"/>
              </w:trPr>
              <w:tc>
                <w:tcPr>
                  <w:tcW w:w="639" w:type="dxa"/>
                </w:tcPr>
                <w:p w:rsidR="008F2E82" w:rsidRPr="00843A2F" w:rsidRDefault="008F2E82" w:rsidP="004B4E53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843A2F">
                    <w:rPr>
                      <w:rFonts w:ascii="Times New Roman" w:hAnsi="Times New Roman"/>
                      <w:szCs w:val="16"/>
                    </w:rPr>
                    <w:t>1.</w:t>
                  </w:r>
                </w:p>
              </w:tc>
              <w:tc>
                <w:tcPr>
                  <w:tcW w:w="2625" w:type="dxa"/>
                </w:tcPr>
                <w:p w:rsidR="008F2E82" w:rsidRPr="001F3CA5" w:rsidRDefault="008F2E82" w:rsidP="004B4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5B93">
                    <w:rPr>
                      <w:rFonts w:ascii="Times New Roman" w:hAnsi="Times New Roman"/>
                      <w:sz w:val="20"/>
                      <w:szCs w:val="20"/>
                    </w:rPr>
                    <w:t>Паливні  брикети з лушпиння  соняшника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типу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Нестро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або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евівалент</w:t>
                  </w:r>
                  <w:proofErr w:type="spellEnd"/>
                </w:p>
                <w:p w:rsidR="008F2E82" w:rsidRPr="00C55B93" w:rsidRDefault="008F2E82" w:rsidP="004B4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5B93">
                    <w:rPr>
                      <w:rFonts w:ascii="Times New Roman" w:hAnsi="Times New Roman"/>
                      <w:sz w:val="20"/>
                      <w:szCs w:val="20"/>
                    </w:rPr>
                    <w:t>- діаметр не менше 50мм</w:t>
                  </w:r>
                </w:p>
                <w:p w:rsidR="008F2E82" w:rsidRPr="00843A2F" w:rsidRDefault="008F2E82" w:rsidP="004B4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C55B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довжина не менше 60мм</w:t>
                  </w:r>
                </w:p>
              </w:tc>
              <w:tc>
                <w:tcPr>
                  <w:tcW w:w="1701" w:type="dxa"/>
                  <w:vAlign w:val="center"/>
                </w:tcPr>
                <w:p w:rsidR="008F2E82" w:rsidRPr="00843A2F" w:rsidRDefault="008F2E82" w:rsidP="004B4E53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39091E">
                    <w:rPr>
                      <w:rFonts w:ascii="Times New Roman" w:hAnsi="Times New Roman"/>
                      <w:szCs w:val="16"/>
                    </w:rPr>
                    <w:t>15</w:t>
                  </w:r>
                  <w:r w:rsidRPr="00843A2F">
                    <w:rPr>
                      <w:rFonts w:ascii="Times New Roman" w:hAnsi="Times New Roman"/>
                      <w:szCs w:val="16"/>
                    </w:rPr>
                    <w:t>,</w:t>
                  </w:r>
                  <w:r w:rsidRPr="0039091E">
                    <w:rPr>
                      <w:rFonts w:ascii="Times New Roman" w:hAnsi="Times New Roman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8F2E82" w:rsidRPr="00843A2F" w:rsidRDefault="008F2E82" w:rsidP="004B4E53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843A2F">
                    <w:rPr>
                      <w:rFonts w:ascii="Times New Roman" w:hAnsi="Times New Roman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Cs w:val="16"/>
                    </w:rPr>
                    <w:t>2</w:t>
                  </w:r>
                  <w:r w:rsidRPr="00843A2F">
                    <w:rPr>
                      <w:rFonts w:ascii="Times New Roman" w:hAnsi="Times New Roman"/>
                      <w:szCs w:val="16"/>
                    </w:rPr>
                    <w:t>,0</w:t>
                  </w:r>
                </w:p>
              </w:tc>
              <w:tc>
                <w:tcPr>
                  <w:tcW w:w="1914" w:type="dxa"/>
                  <w:vAlign w:val="center"/>
                </w:tcPr>
                <w:p w:rsidR="008F2E82" w:rsidRPr="00843A2F" w:rsidRDefault="008F2E82" w:rsidP="004B4E53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4</w:t>
                  </w:r>
                  <w:r w:rsidRPr="00843A2F">
                    <w:rPr>
                      <w:rFonts w:ascii="Times New Roman" w:hAnsi="Times New Roman"/>
                      <w:szCs w:val="16"/>
                    </w:rPr>
                    <w:t>,0</w:t>
                  </w:r>
                </w:p>
              </w:tc>
              <w:tc>
                <w:tcPr>
                  <w:tcW w:w="1489" w:type="dxa"/>
                  <w:vAlign w:val="center"/>
                </w:tcPr>
                <w:p w:rsidR="008F2E82" w:rsidRPr="00843A2F" w:rsidRDefault="008F2E82" w:rsidP="004B4E53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843A2F">
                    <w:rPr>
                      <w:rFonts w:ascii="Times New Roman" w:hAnsi="Times New Roman"/>
                      <w:szCs w:val="16"/>
                    </w:rPr>
                    <w:t>0,3</w:t>
                  </w:r>
                </w:p>
              </w:tc>
            </w:tr>
          </w:tbl>
          <w:p w:rsidR="008F2E82" w:rsidRPr="00E805E9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Якісні, технологічні та фізико-мех</w:t>
            </w:r>
            <w:r>
              <w:rPr>
                <w:rFonts w:ascii="Times New Roman" w:hAnsi="Times New Roman"/>
                <w:sz w:val="24"/>
                <w:szCs w:val="24"/>
              </w:rPr>
              <w:t>анічні показники паливних брикетів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, що є предметом даної закупівлі, повинні відповідати вимогам діючих </w:t>
            </w:r>
            <w:r w:rsidRPr="00E805E9">
              <w:rPr>
                <w:rFonts w:ascii="Times New Roman" w:hAnsi="Times New Roman"/>
                <w:sz w:val="24"/>
                <w:szCs w:val="24"/>
              </w:rPr>
              <w:t xml:space="preserve">нормативних </w:t>
            </w:r>
            <w:proofErr w:type="spellStart"/>
            <w:r w:rsidRPr="00E805E9">
              <w:rPr>
                <w:rFonts w:ascii="Times New Roman" w:hAnsi="Times New Roman"/>
                <w:sz w:val="24"/>
                <w:szCs w:val="24"/>
              </w:rPr>
              <w:t>документів.Учасники</w:t>
            </w:r>
            <w:proofErr w:type="spellEnd"/>
            <w:r w:rsidRPr="00E805E9">
              <w:rPr>
                <w:rFonts w:ascii="Times New Roman" w:hAnsi="Times New Roman"/>
                <w:sz w:val="24"/>
                <w:szCs w:val="24"/>
              </w:rPr>
              <w:t xml:space="preserve"> повинні надати у складі тендерної пропозиції характеристики того товару, що пропонується ними до постачання в рамках закупівлі у формі довідки.</w:t>
            </w:r>
          </w:p>
          <w:p w:rsidR="008F2E82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паливних брикетів повинна бути підтверджені сертифікатом або протоколом випробувань,</w:t>
            </w:r>
            <w:r w:rsidRPr="00E805E9">
              <w:rPr>
                <w:rFonts w:ascii="Times New Roman" w:hAnsi="Times New Roman"/>
                <w:sz w:val="24"/>
                <w:szCs w:val="24"/>
              </w:rPr>
              <w:t xml:space="preserve"> виданим уповноваженою сертифікаційною організацією </w:t>
            </w:r>
            <w:proofErr w:type="spellStart"/>
            <w:r w:rsidRPr="00E805E9">
              <w:rPr>
                <w:rFonts w:ascii="Times New Roman" w:hAnsi="Times New Roman"/>
                <w:sz w:val="24"/>
                <w:szCs w:val="24"/>
              </w:rPr>
              <w:t>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5B93">
              <w:rPr>
                <w:rFonts w:ascii="Times New Roman" w:hAnsi="Times New Roman"/>
                <w:sz w:val="24"/>
                <w:szCs w:val="24"/>
              </w:rPr>
              <w:t>Враховуючи</w:t>
            </w:r>
            <w:proofErr w:type="spellEnd"/>
            <w:r w:rsidRPr="00C55B93">
              <w:rPr>
                <w:rFonts w:ascii="Times New Roman" w:hAnsi="Times New Roman"/>
                <w:sz w:val="24"/>
                <w:szCs w:val="24"/>
              </w:rPr>
              <w:t xml:space="preserve"> технічні можливості використання паливних брикетів Замовником, якість товару не може виходити за межі вимог якості, зазначених в тендерній документації.</w:t>
            </w:r>
          </w:p>
          <w:p w:rsidR="008F2E82" w:rsidRPr="005D2C92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Не 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аються в складі паливних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лушпиння соняшника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еквівалент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>матеріалів, які не входять в склад палива – пісок, будівельні матеріали, каміння, пластик, метали та інше.</w:t>
            </w:r>
          </w:p>
          <w:p w:rsidR="008F2E82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93">
              <w:rPr>
                <w:rFonts w:ascii="Times New Roman" w:hAnsi="Times New Roman"/>
                <w:sz w:val="24"/>
                <w:szCs w:val="24"/>
              </w:rPr>
              <w:t>Учасник поставляє паливні брикети з лушпиння соняшника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еквівалент</w:t>
            </w:r>
            <w:r w:rsidRPr="00C55B93">
              <w:rPr>
                <w:rFonts w:ascii="Times New Roman" w:hAnsi="Times New Roman"/>
                <w:sz w:val="24"/>
                <w:szCs w:val="24"/>
              </w:rPr>
              <w:t xml:space="preserve">  власним транспортом. Завантаження</w:t>
            </w:r>
            <w:bookmarkStart w:id="0" w:name="_GoBack"/>
            <w:bookmarkEnd w:id="0"/>
            <w:r w:rsidRPr="00C55B93">
              <w:rPr>
                <w:rFonts w:ascii="Times New Roman" w:hAnsi="Times New Roman"/>
                <w:sz w:val="24"/>
                <w:szCs w:val="24"/>
              </w:rPr>
              <w:t xml:space="preserve"> проводиться Учасником за власний раху</w:t>
            </w:r>
            <w:r>
              <w:rPr>
                <w:rFonts w:ascii="Times New Roman" w:hAnsi="Times New Roman"/>
                <w:sz w:val="24"/>
                <w:szCs w:val="24"/>
              </w:rPr>
              <w:t>нок. Фасування  товару – мішки вага 40</w:t>
            </w:r>
            <w:r w:rsidRPr="00C55B93">
              <w:rPr>
                <w:rFonts w:ascii="Times New Roman" w:hAnsi="Times New Roman"/>
                <w:sz w:val="24"/>
                <w:szCs w:val="24"/>
              </w:rPr>
              <w:t xml:space="preserve"> кг (+/- 5 %)</w:t>
            </w:r>
            <w:proofErr w:type="spellStart"/>
            <w:r w:rsidRPr="00C55B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паливних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лушпиння соняшника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еквівалент  </w:t>
            </w:r>
            <w:r w:rsidRPr="00DA2B87">
              <w:rPr>
                <w:rFonts w:ascii="Times New Roman" w:hAnsi="Times New Roman"/>
                <w:sz w:val="24"/>
                <w:szCs w:val="24"/>
              </w:rPr>
              <w:t>включає достав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Pr="00DA2B8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tbl>
            <w:tblPr>
              <w:tblW w:w="9536" w:type="dxa"/>
              <w:jc w:val="center"/>
              <w:tblInd w:w="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31"/>
              <w:gridCol w:w="3535"/>
              <w:gridCol w:w="1170"/>
            </w:tblGrid>
            <w:tr w:rsidR="008F2E82" w:rsidRPr="00EF5B6F" w:rsidTr="004B4E53">
              <w:trPr>
                <w:jc w:val="center"/>
              </w:trPr>
              <w:tc>
                <w:tcPr>
                  <w:tcW w:w="4831" w:type="dxa"/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Карпилівська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вул.Миру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47, с.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Карпилівка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район,Чернігівська область, 17341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EF5B6F" w:rsidRDefault="008F2E82" w:rsidP="004B4E53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18 т.</w:t>
                  </w:r>
                </w:p>
              </w:tc>
            </w:tr>
            <w:tr w:rsidR="008F2E82" w:rsidRPr="00EF5B6F" w:rsidTr="004B4E53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Калюжинська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Шкільна, 1, с. Калюжниці,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17311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EF5B6F" w:rsidRDefault="008F2E82" w:rsidP="004B4E53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15 т.</w:t>
                  </w:r>
                </w:p>
              </w:tc>
            </w:tr>
            <w:tr w:rsidR="008F2E82" w:rsidRPr="00EF5B6F" w:rsidTr="004B4E53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Сокиринська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Галаганівська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55,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с.Сокиринці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17312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EF5B6F" w:rsidRDefault="008F2E82" w:rsidP="004B4E53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5 т.</w:t>
                  </w:r>
                </w:p>
              </w:tc>
            </w:tr>
            <w:tr w:rsidR="008F2E82" w:rsidRPr="00EF5B6F" w:rsidTr="004B4E53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Дігтярівська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Центральна, 13 б,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смт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Дігтярі,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17332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EF5B6F" w:rsidRDefault="008F2E82" w:rsidP="004B4E53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20 т.</w:t>
                  </w:r>
                </w:p>
              </w:tc>
            </w:tr>
            <w:tr w:rsidR="008F2E82" w:rsidRPr="00EF5B6F" w:rsidTr="004B4E53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Горобіївська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І-П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E82" w:rsidRPr="00A77673" w:rsidRDefault="008F2E82" w:rsidP="004B4E53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Шкільна, 26, с.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Горобіївка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17351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EF5B6F" w:rsidRDefault="008F2E82" w:rsidP="004B4E53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10 т.</w:t>
                  </w:r>
                </w:p>
              </w:tc>
            </w:tr>
            <w:tr w:rsidR="008F2E82" w:rsidRPr="008D7577" w:rsidTr="004B4E53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Васьківська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 ступеня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</w:t>
                  </w: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lastRenderedPageBreak/>
                    <w:t>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E82" w:rsidRPr="00A77673" w:rsidRDefault="008F2E82" w:rsidP="004B4E53">
                  <w:pPr>
                    <w:pStyle w:val="Bodytext20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lastRenderedPageBreak/>
                    <w:t>вул.Шкільна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8, с.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Васьківці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район,Чернігівська </w:t>
                  </w: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lastRenderedPageBreak/>
                    <w:t>область, 17310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8D7577" w:rsidRDefault="008F2E82" w:rsidP="004B4E53">
                  <w:pPr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lastRenderedPageBreak/>
                    <w:t>10 т.</w:t>
                  </w:r>
                </w:p>
              </w:tc>
            </w:tr>
            <w:tr w:rsidR="008F2E82" w:rsidRPr="00794BD6" w:rsidTr="004B4E53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lastRenderedPageBreak/>
                    <w:t>Подільська загальноосвітня</w:t>
                  </w:r>
                  <w:r w:rsidRPr="00A776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  <w:t xml:space="preserve"> </w:t>
                  </w: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школа І-ІІ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E82" w:rsidRPr="00A77673" w:rsidRDefault="008F2E82" w:rsidP="004B4E53">
                  <w:pPr>
                    <w:pStyle w:val="Bodytext20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вул. Центральна, 38, с. Поділ,</w:t>
                  </w:r>
                  <w:r w:rsidRPr="00A776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  <w:t xml:space="preserve">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 Чернігівська область, 17300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794BD6" w:rsidRDefault="008F2E82" w:rsidP="004B4E53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10 т.</w:t>
                  </w:r>
                </w:p>
              </w:tc>
            </w:tr>
            <w:tr w:rsidR="008F2E82" w:rsidRPr="00EF5B6F" w:rsidTr="004B4E53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2E82" w:rsidRPr="00A77673" w:rsidRDefault="008F2E82" w:rsidP="004B4E53">
                  <w:pPr>
                    <w:pStyle w:val="Bodytext20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Гриціївська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І-И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E82" w:rsidRPr="00A77673" w:rsidRDefault="008F2E82" w:rsidP="004B4E53">
                  <w:pPr>
                    <w:pStyle w:val="Bodytext20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Незалежності, 26,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с.Гриціївка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17321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F2E82" w:rsidRPr="00EF5B6F" w:rsidRDefault="008F2E82" w:rsidP="004B4E53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3 т.</w:t>
                  </w:r>
                </w:p>
              </w:tc>
            </w:tr>
          </w:tbl>
          <w:p w:rsidR="008F2E82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E82" w:rsidRPr="005D2C92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Супровідні документи повинні засвідчувати якість та місце його походження.</w:t>
            </w:r>
          </w:p>
          <w:p w:rsidR="008F2E82" w:rsidRPr="005D2C92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 xml:space="preserve">У випадку поставки неякісних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паливних брикетів з лушпиння соняшника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еквівалент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проведення лабораторних випробувань, доставка проб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паливних брикетів з лушпиння соняшника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еквівалент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до лабораторії та експертних досліджень проводиться за кошти Учасника у строки, визначені Замовником. Замовник залишає за собою право вибору лабораторії, що здійснюватиме дослідження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паливних брикетів з лушпиння соняшника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еквівалент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>щодо технічних та якісних показників.</w:t>
            </w:r>
          </w:p>
          <w:p w:rsidR="008F2E82" w:rsidRPr="005D2C92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Замовник має право при поставці кожної окремої партії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паливних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лушпиння соняшника типу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еквівалент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>вимагати проведення незалежної експертизи та лабораторних досліджень щодо якісних та технічних показників та їх відповідності вимогам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амовника за рахунок Учасника.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Відповідно до чого, у складі пропозиції учасник повинен </w:t>
            </w:r>
            <w:r w:rsidRPr="00E805E9">
              <w:rPr>
                <w:rFonts w:ascii="Times New Roman" w:hAnsi="Times New Roman"/>
                <w:sz w:val="24"/>
                <w:szCs w:val="24"/>
              </w:rPr>
              <w:t>надати гарантійний лист.</w:t>
            </w:r>
          </w:p>
          <w:p w:rsidR="008F2E82" w:rsidRPr="000700A6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постачання –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 xml:space="preserve"> року.</w:t>
            </w:r>
          </w:p>
          <w:p w:rsidR="008F2E82" w:rsidRPr="003405F1" w:rsidRDefault="008F2E82" w:rsidP="004B4E5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8F2E82" w:rsidRDefault="008F2E82" w:rsidP="008F2E82">
      <w:pPr>
        <w:pStyle w:val="a3"/>
      </w:pPr>
    </w:p>
    <w:p w:rsidR="008F2E82" w:rsidRPr="00B94D25" w:rsidRDefault="008F2E82" w:rsidP="008F2E82">
      <w:pPr>
        <w:rPr>
          <w:rFonts w:ascii="Times New Roman" w:hAnsi="Times New Roman" w:cs="Times New Roman"/>
        </w:rPr>
      </w:pPr>
    </w:p>
    <w:p w:rsidR="0071642C" w:rsidRDefault="0071642C"/>
    <w:sectPr w:rsidR="0071642C" w:rsidSect="0071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5F1"/>
    <w:multiLevelType w:val="hybridMultilevel"/>
    <w:tmpl w:val="872289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82"/>
    <w:rsid w:val="0071642C"/>
    <w:rsid w:val="008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qFormat/>
    <w:rsid w:val="008F2E82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3"/>
    <w:qFormat/>
    <w:rsid w:val="008F2E82"/>
  </w:style>
  <w:style w:type="character" w:customStyle="1" w:styleId="Bodytext2">
    <w:name w:val="Body text (2)_"/>
    <w:link w:val="Bodytext20"/>
    <w:rsid w:val="008F2E82"/>
    <w:rPr>
      <w:shd w:val="clear" w:color="auto" w:fill="FFFFFF"/>
    </w:rPr>
  </w:style>
  <w:style w:type="character" w:customStyle="1" w:styleId="Bodytext2115pt">
    <w:name w:val="Body text (2) + 11.5 pt"/>
    <w:rsid w:val="008F2E82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8F2E82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2675</Words>
  <Characters>1526</Characters>
  <Application>Microsoft Office Word</Application>
  <DocSecurity>0</DocSecurity>
  <Lines>12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</cp:revision>
  <dcterms:created xsi:type="dcterms:W3CDTF">2023-06-14T07:45:00Z</dcterms:created>
  <dcterms:modified xsi:type="dcterms:W3CDTF">2023-06-14T07:46:00Z</dcterms:modified>
</cp:coreProperties>
</file>