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2434C4AB"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0501212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D406F7">
        <w:rPr>
          <w:rFonts w:ascii="Times New Roman" w:hAnsi="Times New Roman" w:cs="Times New Roman"/>
          <w:color w:val="000000"/>
          <w:sz w:val="24"/>
          <w:szCs w:val="24"/>
        </w:rPr>
        <w:t xml:space="preserve"> </w:t>
      </w:r>
      <w:r w:rsidR="00EF7F40" w:rsidRPr="00EF7F40">
        <w:rPr>
          <w:rFonts w:ascii="Times New Roman" w:hAnsi="Times New Roman" w:cs="Times New Roman"/>
          <w:color w:val="000000"/>
          <w:sz w:val="24"/>
          <w:szCs w:val="24"/>
        </w:rPr>
        <w:t>Фармацевтична продукція  код 33600000-6 за ДК 021:2015 «Єдиний закупівельний словник»  (</w:t>
      </w:r>
      <w:proofErr w:type="spellStart"/>
      <w:r w:rsidR="00EF7F40" w:rsidRPr="00EF7F40">
        <w:rPr>
          <w:rFonts w:ascii="Times New Roman" w:hAnsi="Times New Roman" w:cs="Times New Roman"/>
          <w:color w:val="000000"/>
          <w:sz w:val="24"/>
          <w:szCs w:val="24"/>
        </w:rPr>
        <w:t>Vancomycin</w:t>
      </w:r>
      <w:proofErr w:type="spellEnd"/>
      <w:r w:rsidR="00EF7F40" w:rsidRPr="00EF7F40">
        <w:rPr>
          <w:rFonts w:ascii="Times New Roman" w:hAnsi="Times New Roman" w:cs="Times New Roman"/>
          <w:color w:val="000000"/>
          <w:sz w:val="24"/>
          <w:szCs w:val="24"/>
        </w:rPr>
        <w:t xml:space="preserve"> - код 33651100-9 за ДК 021:2015 - Протибактеріальні засоби для системного застосування)</w:t>
      </w:r>
      <w:r w:rsidRPr="006C50BA">
        <w:rPr>
          <w:rFonts w:ascii="Times New Roman" w:hAnsi="Times New Roman" w:cs="Times New Roman"/>
          <w:sz w:val="24"/>
          <w:szCs w:val="24"/>
        </w:rPr>
        <w:t xml:space="preserve">, в кількості </w:t>
      </w:r>
      <w:r w:rsidR="00EF7F40">
        <w:rPr>
          <w:rFonts w:ascii="Times New Roman" w:hAnsi="Times New Roman" w:cs="Times New Roman"/>
          <w:sz w:val="24"/>
          <w:szCs w:val="24"/>
        </w:rPr>
        <w:t>2</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0D9CA031"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bookmarkEnd w:id="0"/>
      <w:r w:rsidR="009A3FBA" w:rsidRPr="009A3FBA">
        <w:t xml:space="preserve"> </w:t>
      </w:r>
      <w:r w:rsidR="009A3FBA" w:rsidRPr="009A3FBA">
        <w:rPr>
          <w:rFonts w:ascii="Times New Roman" w:hAnsi="Times New Roman" w:cs="Times New Roman"/>
          <w:color w:val="000000"/>
          <w:sz w:val="24"/>
          <w:szCs w:val="24"/>
        </w:rPr>
        <w:t xml:space="preserve">Термін придатності повинен становити не менше </w:t>
      </w:r>
      <w:r w:rsidR="00EB279E">
        <w:rPr>
          <w:rFonts w:ascii="Times New Roman" w:hAnsi="Times New Roman" w:cs="Times New Roman"/>
          <w:color w:val="000000"/>
          <w:sz w:val="24"/>
          <w:szCs w:val="24"/>
        </w:rPr>
        <w:t>1 року</w:t>
      </w:r>
      <w:r w:rsidR="009A3FBA" w:rsidRPr="009A3FBA">
        <w:rPr>
          <w:rFonts w:ascii="Times New Roman" w:hAnsi="Times New Roman" w:cs="Times New Roman"/>
          <w:color w:val="000000"/>
          <w:sz w:val="24"/>
          <w:szCs w:val="24"/>
        </w:rPr>
        <w:t>.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BD88B39"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FA368F">
        <w:rPr>
          <w:rFonts w:ascii="Times New Roman" w:hAnsi="Times New Roman" w:cs="Times New Roman"/>
          <w:sz w:val="24"/>
          <w:szCs w:val="24"/>
        </w:rPr>
        <w:t>Специфікації</w:t>
      </w:r>
      <w:r w:rsidRPr="006C50BA">
        <w:rPr>
          <w:rFonts w:ascii="Times New Roman" w:hAnsi="Times New Roman" w:cs="Times New Roman"/>
          <w:sz w:val="24"/>
          <w:szCs w:val="24"/>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w:t>
      </w:r>
      <w:r w:rsidRPr="006C50BA">
        <w:rPr>
          <w:rFonts w:ascii="Times New Roman" w:hAnsi="Times New Roman" w:cs="Times New Roman"/>
          <w:sz w:val="24"/>
          <w:szCs w:val="24"/>
        </w:rPr>
        <w:lastRenderedPageBreak/>
        <w:t>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386FA0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bookmarkStart w:id="1" w:name="_Hlk164244144"/>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63B282"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C3F759"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F4EE2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lastRenderedPageBreak/>
        <w:t>12.3.1 зменшення обсягів закупівлі, зокрема з урахуванням фактичного обсягу видатків замовника;</w:t>
      </w:r>
    </w:p>
    <w:p w14:paraId="6B61C37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53A0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17E0BBA6"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8B88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3AF6DAE3"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2B3815E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ADE84F"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27B5F5E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w:t>
      </w:r>
      <w:r w:rsidRPr="006C50BA">
        <w:rPr>
          <w:rFonts w:ascii="Times New Roman" w:eastAsia="SimSun" w:hAnsi="Times New Roman" w:cs="Times New Roman"/>
          <w:bCs/>
          <w:kern w:val="3"/>
          <w:sz w:val="24"/>
          <w:szCs w:val="24"/>
          <w:lang w:eastAsia="zh-CN" w:bidi="hi-IN"/>
        </w:rPr>
        <w:lastRenderedPageBreak/>
        <w:t xml:space="preserve">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 xml:space="preserve">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w:t>
      </w:r>
      <w:r w:rsidRPr="006C50BA">
        <w:rPr>
          <w:rFonts w:ascii="Times New Roman" w:hAnsi="Times New Roman" w:cs="Times New Roman"/>
          <w:sz w:val="24"/>
          <w:szCs w:val="24"/>
          <w:lang w:eastAsia="ar-SA"/>
        </w:rPr>
        <w:lastRenderedPageBreak/>
        <w:t>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21264B73"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00D9C605" w14:textId="06E88E9A" w:rsidR="005C3C35" w:rsidRPr="00EC7DA7" w:rsidRDefault="005C3C35" w:rsidP="005C3C35">
      <w:pPr>
        <w:widowControl w:val="0"/>
        <w:autoSpaceDE w:val="0"/>
        <w:autoSpaceDN w:val="0"/>
        <w:adjustRightInd w:val="0"/>
        <w:spacing w:after="0" w:line="240" w:lineRule="auto"/>
        <w:jc w:val="center"/>
        <w:rPr>
          <w:rFonts w:ascii="Times New Roman" w:hAnsi="Times New Roman"/>
          <w:b/>
          <w:sz w:val="24"/>
          <w:szCs w:val="24"/>
        </w:rPr>
      </w:pPr>
      <w:bookmarkStart w:id="2" w:name="_Hlk164244402"/>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3D8E6CE8" w14:textId="51BE4445"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r w:rsidR="00AB7965" w:rsidRPr="00EC7DA7">
        <w:rPr>
          <w:rFonts w:ascii="Times New Roman" w:hAnsi="Times New Roman"/>
          <w:sz w:val="24"/>
          <w:szCs w:val="24"/>
        </w:rPr>
        <w:t>проект</w:t>
      </w:r>
      <w:r w:rsidRPr="00EC7DA7">
        <w:rPr>
          <w:rFonts w:ascii="Times New Roman" w:hAnsi="Times New Roman"/>
          <w:sz w:val="24"/>
          <w:szCs w:val="24"/>
        </w:rPr>
        <w:t xml:space="preserve"> додаткової угоди) до Договору.</w:t>
      </w:r>
    </w:p>
    <w:p w14:paraId="1BF4D7E0" w14:textId="0B4DE9A1"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B0A7848" w14:textId="057B3FF2"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BB515B4" w14:textId="31258F68"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6D0E9964" w14:textId="2B30D7C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15.3. </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641F8D08"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bookmarkEnd w:id="2"/>
    </w:p>
    <w:p w14:paraId="1D913FE5" w14:textId="2DC9F092"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5C3C35">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3764F413"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7C19C68"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8"/>
          <w:pgSz w:w="11906" w:h="16838"/>
          <w:pgMar w:top="709" w:right="850" w:bottom="1134" w:left="1701" w:header="708" w:footer="708" w:gutter="0"/>
          <w:cols w:space="708"/>
          <w:titlePg/>
          <w:docGrid w:linePitch="360"/>
        </w:sectPr>
      </w:pPr>
    </w:p>
    <w:p w14:paraId="421E2CA8" w14:textId="513D574B" w:rsidR="00A265A3"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394AB010" w14:textId="77777777" w:rsidR="00AB7965" w:rsidRPr="006C50BA" w:rsidRDefault="00AB7965"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6"/>
        <w:gridCol w:w="854"/>
        <w:gridCol w:w="2314"/>
        <w:gridCol w:w="1409"/>
        <w:gridCol w:w="1265"/>
        <w:gridCol w:w="983"/>
        <w:gridCol w:w="1154"/>
        <w:gridCol w:w="1127"/>
        <w:gridCol w:w="1933"/>
        <w:gridCol w:w="1702"/>
        <w:gridCol w:w="1409"/>
        <w:gridCol w:w="539"/>
      </w:tblGrid>
      <w:tr w:rsidR="00C7439E" w:rsidRPr="00C7439E" w14:paraId="15DF25EF" w14:textId="77777777" w:rsidTr="000A507F">
        <w:trPr>
          <w:trHeight w:val="1154"/>
          <w:jc w:val="center"/>
        </w:trPr>
        <w:tc>
          <w:tcPr>
            <w:tcW w:w="99" w:type="pct"/>
            <w:vAlign w:val="center"/>
          </w:tcPr>
          <w:p w14:paraId="066D4A77"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w:t>
            </w:r>
          </w:p>
          <w:p w14:paraId="29CE6E01"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п/п</w:t>
            </w:r>
          </w:p>
        </w:tc>
        <w:tc>
          <w:tcPr>
            <w:tcW w:w="285" w:type="pct"/>
            <w:vAlign w:val="center"/>
          </w:tcPr>
          <w:p w14:paraId="6F5EEDBC" w14:textId="77777777" w:rsidR="00C7439E" w:rsidRPr="00C7439E" w:rsidRDefault="00C7439E" w:rsidP="00C7439E">
            <w:pPr>
              <w:spacing w:after="0" w:line="240" w:lineRule="auto"/>
              <w:jc w:val="center"/>
              <w:rPr>
                <w:rFonts w:ascii="Times New Roman" w:hAnsi="Times New Roman" w:cs="Times New Roman"/>
                <w:b/>
                <w:bCs/>
                <w:sz w:val="20"/>
                <w:szCs w:val="20"/>
              </w:rPr>
            </w:pPr>
            <w:r w:rsidRPr="00C7439E">
              <w:rPr>
                <w:rFonts w:ascii="Times New Roman" w:hAnsi="Times New Roman" w:cs="Times New Roman"/>
                <w:b/>
                <w:bCs/>
                <w:sz w:val="20"/>
                <w:szCs w:val="20"/>
              </w:rPr>
              <w:t>Код АТХ</w:t>
            </w:r>
          </w:p>
        </w:tc>
        <w:tc>
          <w:tcPr>
            <w:tcW w:w="772" w:type="pct"/>
            <w:vAlign w:val="center"/>
          </w:tcPr>
          <w:p w14:paraId="27D3292E" w14:textId="54E22433"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 xml:space="preserve">Найменування </w:t>
            </w:r>
          </w:p>
        </w:tc>
        <w:tc>
          <w:tcPr>
            <w:tcW w:w="470" w:type="pct"/>
            <w:vAlign w:val="center"/>
          </w:tcPr>
          <w:p w14:paraId="6ADF8221"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Торгова назва згідно з документами виробника</w:t>
            </w:r>
          </w:p>
        </w:tc>
        <w:tc>
          <w:tcPr>
            <w:tcW w:w="422" w:type="pct"/>
            <w:vAlign w:val="center"/>
          </w:tcPr>
          <w:p w14:paraId="1B902394"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Виробник, країна походження</w:t>
            </w:r>
          </w:p>
        </w:tc>
        <w:tc>
          <w:tcPr>
            <w:tcW w:w="328" w:type="pct"/>
            <w:vAlign w:val="center"/>
          </w:tcPr>
          <w:p w14:paraId="03B19459" w14:textId="5FFBE691" w:rsidR="00C7439E" w:rsidRPr="00C7439E" w:rsidRDefault="00C7439E" w:rsidP="00C7439E">
            <w:pPr>
              <w:spacing w:after="0" w:line="240" w:lineRule="auto"/>
              <w:jc w:val="center"/>
              <w:rPr>
                <w:rFonts w:ascii="Times New Roman" w:hAnsi="Times New Roman" w:cs="Times New Roman"/>
                <w:b/>
                <w:bCs/>
                <w:sz w:val="20"/>
                <w:szCs w:val="20"/>
              </w:rPr>
            </w:pPr>
            <w:proofErr w:type="spellStart"/>
            <w:r w:rsidRPr="00C7439E">
              <w:rPr>
                <w:rFonts w:ascii="Times New Roman" w:hAnsi="Times New Roman" w:cs="Times New Roman"/>
                <w:b/>
              </w:rPr>
              <w:t>Од.вим</w:t>
            </w:r>
            <w:proofErr w:type="spellEnd"/>
            <w:r w:rsidRPr="00C7439E">
              <w:rPr>
                <w:rFonts w:ascii="Times New Roman" w:hAnsi="Times New Roman" w:cs="Times New Roman"/>
                <w:b/>
              </w:rPr>
              <w:t>.</w:t>
            </w:r>
          </w:p>
        </w:tc>
        <w:tc>
          <w:tcPr>
            <w:tcW w:w="385" w:type="pct"/>
            <w:vAlign w:val="center"/>
          </w:tcPr>
          <w:p w14:paraId="4E94DAEB" w14:textId="082F9446"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rPr>
              <w:t xml:space="preserve">Кількість </w:t>
            </w:r>
            <w:proofErr w:type="spellStart"/>
            <w:r w:rsidRPr="00C7439E">
              <w:rPr>
                <w:rFonts w:ascii="Times New Roman" w:hAnsi="Times New Roman" w:cs="Times New Roman"/>
                <w:b/>
              </w:rPr>
              <w:t>фл</w:t>
            </w:r>
            <w:proofErr w:type="spellEnd"/>
            <w:r w:rsidRPr="00C7439E">
              <w:rPr>
                <w:rFonts w:ascii="Times New Roman" w:hAnsi="Times New Roman" w:cs="Times New Roman"/>
                <w:b/>
              </w:rPr>
              <w:t>.</w:t>
            </w:r>
          </w:p>
        </w:tc>
        <w:tc>
          <w:tcPr>
            <w:tcW w:w="376" w:type="pct"/>
            <w:vAlign w:val="center"/>
          </w:tcPr>
          <w:p w14:paraId="3963A3A5" w14:textId="422F1764"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Кількість упаковок</w:t>
            </w:r>
          </w:p>
        </w:tc>
        <w:tc>
          <w:tcPr>
            <w:tcW w:w="645" w:type="pct"/>
            <w:vAlign w:val="center"/>
          </w:tcPr>
          <w:p w14:paraId="3F9F593D" w14:textId="03BE5F88"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Оптово-відпускна ціна на лікарські засоби з урахуванням податків та зборів</w:t>
            </w:r>
          </w:p>
        </w:tc>
        <w:tc>
          <w:tcPr>
            <w:tcW w:w="568" w:type="pct"/>
            <w:vAlign w:val="center"/>
          </w:tcPr>
          <w:p w14:paraId="5F2F5A44"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 xml:space="preserve">Граничні постачальницько-збутові надбавки </w:t>
            </w:r>
          </w:p>
        </w:tc>
        <w:tc>
          <w:tcPr>
            <w:tcW w:w="470" w:type="pct"/>
            <w:vAlign w:val="center"/>
          </w:tcPr>
          <w:p w14:paraId="36A6CC21" w14:textId="53E4E130"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 xml:space="preserve">Ціна за </w:t>
            </w:r>
            <w:proofErr w:type="spellStart"/>
            <w:r w:rsidR="00E24E9C">
              <w:rPr>
                <w:rFonts w:ascii="Times New Roman" w:hAnsi="Times New Roman" w:cs="Times New Roman"/>
                <w:b/>
                <w:sz w:val="20"/>
                <w:szCs w:val="20"/>
              </w:rPr>
              <w:t>фл</w:t>
            </w:r>
            <w:proofErr w:type="spellEnd"/>
            <w:r w:rsidRPr="00C7439E">
              <w:rPr>
                <w:rFonts w:ascii="Times New Roman" w:hAnsi="Times New Roman" w:cs="Times New Roman"/>
                <w:b/>
                <w:sz w:val="20"/>
                <w:szCs w:val="20"/>
              </w:rPr>
              <w:t>., грн.</w:t>
            </w:r>
          </w:p>
          <w:p w14:paraId="37F1D745"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(без ПДВ)</w:t>
            </w:r>
          </w:p>
        </w:tc>
        <w:tc>
          <w:tcPr>
            <w:tcW w:w="180" w:type="pct"/>
            <w:vAlign w:val="center"/>
          </w:tcPr>
          <w:p w14:paraId="53DC3E45"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Сума, грн.</w:t>
            </w:r>
          </w:p>
          <w:p w14:paraId="434DAC7E"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 xml:space="preserve"> (без  ПДВ)</w:t>
            </w:r>
          </w:p>
        </w:tc>
      </w:tr>
      <w:tr w:rsidR="00D138E2" w:rsidRPr="00C7439E" w14:paraId="5A682B60" w14:textId="77777777" w:rsidTr="000A507F">
        <w:trPr>
          <w:trHeight w:val="20"/>
          <w:jc w:val="center"/>
        </w:trPr>
        <w:tc>
          <w:tcPr>
            <w:tcW w:w="99" w:type="pct"/>
            <w:vAlign w:val="center"/>
          </w:tcPr>
          <w:p w14:paraId="2CBEF23B" w14:textId="22C49D03" w:rsidR="00D138E2" w:rsidRPr="00EF7F40" w:rsidRDefault="00D138E2" w:rsidP="00D138E2">
            <w:pPr>
              <w:spacing w:after="0" w:line="240" w:lineRule="auto"/>
              <w:jc w:val="center"/>
              <w:rPr>
                <w:rFonts w:ascii="Times New Roman" w:hAnsi="Times New Roman" w:cs="Times New Roman"/>
                <w:sz w:val="18"/>
                <w:szCs w:val="18"/>
              </w:rPr>
            </w:pPr>
            <w:r w:rsidRPr="00EF7F40">
              <w:rPr>
                <w:rFonts w:ascii="Times New Roman" w:hAnsi="Times New Roman" w:cs="Times New Roman"/>
                <w:sz w:val="18"/>
                <w:szCs w:val="18"/>
              </w:rPr>
              <w:t>1</w:t>
            </w:r>
          </w:p>
        </w:tc>
        <w:tc>
          <w:tcPr>
            <w:tcW w:w="285" w:type="pct"/>
            <w:vAlign w:val="center"/>
          </w:tcPr>
          <w:p w14:paraId="345F81F3" w14:textId="7F4200E1" w:rsidR="00D138E2" w:rsidRPr="00EF7F40" w:rsidRDefault="00D138E2" w:rsidP="00D138E2">
            <w:pPr>
              <w:spacing w:after="0" w:line="240" w:lineRule="auto"/>
              <w:jc w:val="center"/>
              <w:rPr>
                <w:rFonts w:ascii="Times New Roman" w:hAnsi="Times New Roman" w:cs="Times New Roman"/>
                <w:sz w:val="18"/>
                <w:szCs w:val="18"/>
              </w:rPr>
            </w:pPr>
            <w:r w:rsidRPr="00EF7F40">
              <w:rPr>
                <w:rFonts w:ascii="Times New Roman" w:hAnsi="Times New Roman" w:cs="Times New Roman"/>
                <w:color w:val="000000"/>
                <w:sz w:val="18"/>
                <w:szCs w:val="18"/>
              </w:rPr>
              <w:t>J01XA01</w:t>
            </w:r>
          </w:p>
        </w:tc>
        <w:tc>
          <w:tcPr>
            <w:tcW w:w="772" w:type="pct"/>
            <w:vAlign w:val="center"/>
          </w:tcPr>
          <w:p w14:paraId="4F0909D0" w14:textId="4E190A11" w:rsidR="00D138E2" w:rsidRPr="00EF7F40" w:rsidRDefault="00D138E2" w:rsidP="00D138E2">
            <w:pPr>
              <w:spacing w:after="0" w:line="240" w:lineRule="auto"/>
              <w:ind w:left="57" w:right="57"/>
              <w:jc w:val="both"/>
              <w:rPr>
                <w:rFonts w:ascii="Times New Roman" w:hAnsi="Times New Roman" w:cs="Times New Roman"/>
                <w:sz w:val="18"/>
                <w:szCs w:val="18"/>
              </w:rPr>
            </w:pPr>
            <w:proofErr w:type="spellStart"/>
            <w:r w:rsidRPr="00EF7F40">
              <w:rPr>
                <w:rFonts w:ascii="Times New Roman" w:hAnsi="Times New Roman" w:cs="Times New Roman"/>
                <w:color w:val="000000"/>
                <w:sz w:val="18"/>
                <w:szCs w:val="18"/>
              </w:rPr>
              <w:t>Ванкоміцин</w:t>
            </w:r>
            <w:proofErr w:type="spellEnd"/>
            <w:r w:rsidRPr="00EF7F40">
              <w:rPr>
                <w:rFonts w:ascii="Times New Roman" w:hAnsi="Times New Roman" w:cs="Times New Roman"/>
                <w:color w:val="000000"/>
                <w:sz w:val="18"/>
                <w:szCs w:val="18"/>
              </w:rPr>
              <w:t xml:space="preserve"> ліофілізат для розчину для </w:t>
            </w:r>
            <w:proofErr w:type="spellStart"/>
            <w:r w:rsidRPr="00EF7F40">
              <w:rPr>
                <w:rFonts w:ascii="Times New Roman" w:hAnsi="Times New Roman" w:cs="Times New Roman"/>
                <w:color w:val="000000"/>
                <w:sz w:val="18"/>
                <w:szCs w:val="18"/>
              </w:rPr>
              <w:t>інфузій</w:t>
            </w:r>
            <w:proofErr w:type="spellEnd"/>
            <w:r w:rsidRPr="00EF7F40">
              <w:rPr>
                <w:rFonts w:ascii="Times New Roman" w:hAnsi="Times New Roman" w:cs="Times New Roman"/>
                <w:color w:val="000000"/>
                <w:sz w:val="18"/>
                <w:szCs w:val="18"/>
              </w:rPr>
              <w:t xml:space="preserve"> 500</w:t>
            </w:r>
            <w:r>
              <w:rPr>
                <w:rFonts w:ascii="Times New Roman" w:hAnsi="Times New Roman" w:cs="Times New Roman"/>
                <w:color w:val="000000"/>
                <w:sz w:val="18"/>
                <w:szCs w:val="18"/>
              </w:rPr>
              <w:t xml:space="preserve"> </w:t>
            </w:r>
            <w:r w:rsidRPr="00EF7F40">
              <w:rPr>
                <w:rFonts w:ascii="Times New Roman" w:hAnsi="Times New Roman" w:cs="Times New Roman"/>
                <w:color w:val="000000"/>
                <w:sz w:val="18"/>
                <w:szCs w:val="18"/>
              </w:rPr>
              <w:t>мг у флаконі (</w:t>
            </w:r>
            <w:proofErr w:type="spellStart"/>
            <w:r w:rsidRPr="00EF7F40">
              <w:rPr>
                <w:rFonts w:ascii="Times New Roman" w:hAnsi="Times New Roman" w:cs="Times New Roman"/>
                <w:color w:val="000000"/>
                <w:sz w:val="18"/>
                <w:szCs w:val="18"/>
              </w:rPr>
              <w:t>Vancomycin</w:t>
            </w:r>
            <w:proofErr w:type="spellEnd"/>
            <w:r w:rsidRPr="00EF7F40">
              <w:rPr>
                <w:rFonts w:ascii="Times New Roman" w:hAnsi="Times New Roman" w:cs="Times New Roman"/>
                <w:color w:val="000000"/>
                <w:sz w:val="18"/>
                <w:szCs w:val="18"/>
              </w:rPr>
              <w:t xml:space="preserve"> - код 33651100-9 за ДК 021:2015 - Протибактеріальні засоби для системного застосування)</w:t>
            </w:r>
          </w:p>
        </w:tc>
        <w:tc>
          <w:tcPr>
            <w:tcW w:w="470" w:type="pct"/>
            <w:vAlign w:val="center"/>
          </w:tcPr>
          <w:p w14:paraId="28CA55CB" w14:textId="21F1731A" w:rsidR="00D138E2" w:rsidRPr="00C7439E" w:rsidRDefault="00D138E2" w:rsidP="00D138E2">
            <w:pPr>
              <w:spacing w:after="0" w:line="240" w:lineRule="auto"/>
              <w:ind w:left="57" w:right="57"/>
              <w:jc w:val="both"/>
              <w:rPr>
                <w:rFonts w:ascii="Times New Roman" w:hAnsi="Times New Roman" w:cs="Times New Roman"/>
                <w:color w:val="000000"/>
                <w:sz w:val="20"/>
                <w:szCs w:val="20"/>
              </w:rPr>
            </w:pPr>
          </w:p>
        </w:tc>
        <w:tc>
          <w:tcPr>
            <w:tcW w:w="422" w:type="pct"/>
            <w:vAlign w:val="center"/>
          </w:tcPr>
          <w:p w14:paraId="754A0F6E" w14:textId="01512B29" w:rsidR="00D138E2" w:rsidRPr="00C7439E" w:rsidRDefault="00D138E2" w:rsidP="00D138E2">
            <w:pPr>
              <w:spacing w:after="0" w:line="240" w:lineRule="auto"/>
              <w:jc w:val="center"/>
              <w:rPr>
                <w:rFonts w:ascii="Times New Roman" w:hAnsi="Times New Roman" w:cs="Times New Roman"/>
                <w:sz w:val="20"/>
                <w:szCs w:val="20"/>
              </w:rPr>
            </w:pPr>
          </w:p>
        </w:tc>
        <w:tc>
          <w:tcPr>
            <w:tcW w:w="328" w:type="pct"/>
            <w:vAlign w:val="center"/>
          </w:tcPr>
          <w:p w14:paraId="353EE220" w14:textId="4314412B" w:rsidR="00D138E2" w:rsidRPr="00C7439E" w:rsidRDefault="00D138E2" w:rsidP="00D138E2">
            <w:pPr>
              <w:spacing w:after="0" w:line="240" w:lineRule="auto"/>
              <w:jc w:val="center"/>
              <w:rPr>
                <w:rFonts w:ascii="Times New Roman" w:hAnsi="Times New Roman" w:cs="Times New Roman"/>
                <w:sz w:val="20"/>
                <w:szCs w:val="20"/>
              </w:rPr>
            </w:pPr>
            <w:proofErr w:type="spellStart"/>
            <w:r>
              <w:rPr>
                <w:color w:val="000000"/>
              </w:rPr>
              <w:t>Фл</w:t>
            </w:r>
            <w:proofErr w:type="spellEnd"/>
            <w:r>
              <w:rPr>
                <w:color w:val="000000"/>
              </w:rPr>
              <w:t>/</w:t>
            </w:r>
            <w:proofErr w:type="spellStart"/>
            <w:r>
              <w:rPr>
                <w:color w:val="000000"/>
              </w:rPr>
              <w:t>шт</w:t>
            </w:r>
            <w:proofErr w:type="spellEnd"/>
          </w:p>
        </w:tc>
        <w:tc>
          <w:tcPr>
            <w:tcW w:w="385" w:type="pct"/>
            <w:vAlign w:val="center"/>
          </w:tcPr>
          <w:p w14:paraId="4875C682" w14:textId="3A26BAE5" w:rsidR="00D138E2" w:rsidRPr="00C7439E" w:rsidRDefault="00D138E2" w:rsidP="00D138E2">
            <w:pPr>
              <w:spacing w:after="0" w:line="240" w:lineRule="auto"/>
              <w:jc w:val="center"/>
              <w:rPr>
                <w:rFonts w:ascii="Times New Roman" w:hAnsi="Times New Roman" w:cs="Times New Roman"/>
                <w:sz w:val="20"/>
                <w:szCs w:val="20"/>
              </w:rPr>
            </w:pPr>
            <w:r>
              <w:rPr>
                <w:color w:val="000000"/>
              </w:rPr>
              <w:t>1100</w:t>
            </w:r>
          </w:p>
        </w:tc>
        <w:tc>
          <w:tcPr>
            <w:tcW w:w="376" w:type="pct"/>
            <w:vAlign w:val="center"/>
          </w:tcPr>
          <w:p w14:paraId="48F59827" w14:textId="77AEE670" w:rsidR="00D138E2" w:rsidRPr="00C7439E" w:rsidRDefault="00D138E2" w:rsidP="00D138E2">
            <w:pPr>
              <w:spacing w:after="0" w:line="240" w:lineRule="auto"/>
              <w:jc w:val="center"/>
              <w:rPr>
                <w:rFonts w:ascii="Times New Roman" w:hAnsi="Times New Roman" w:cs="Times New Roman"/>
                <w:sz w:val="20"/>
                <w:szCs w:val="20"/>
              </w:rPr>
            </w:pPr>
          </w:p>
        </w:tc>
        <w:tc>
          <w:tcPr>
            <w:tcW w:w="645" w:type="pct"/>
            <w:vAlign w:val="center"/>
          </w:tcPr>
          <w:p w14:paraId="694D3DBE" w14:textId="3E89D678" w:rsidR="00D138E2" w:rsidRPr="00C7439E" w:rsidRDefault="00D138E2" w:rsidP="00D138E2">
            <w:pPr>
              <w:spacing w:after="0" w:line="240" w:lineRule="auto"/>
              <w:jc w:val="center"/>
              <w:rPr>
                <w:rFonts w:ascii="Times New Roman" w:hAnsi="Times New Roman" w:cs="Times New Roman"/>
                <w:sz w:val="20"/>
                <w:szCs w:val="20"/>
              </w:rPr>
            </w:pPr>
          </w:p>
        </w:tc>
        <w:tc>
          <w:tcPr>
            <w:tcW w:w="568" w:type="pct"/>
            <w:vAlign w:val="center"/>
          </w:tcPr>
          <w:p w14:paraId="53469E07" w14:textId="46D9708E" w:rsidR="00D138E2" w:rsidRPr="00C7439E" w:rsidRDefault="00D138E2" w:rsidP="00D138E2">
            <w:pPr>
              <w:spacing w:after="0" w:line="240" w:lineRule="auto"/>
              <w:jc w:val="center"/>
              <w:rPr>
                <w:rFonts w:ascii="Times New Roman" w:hAnsi="Times New Roman" w:cs="Times New Roman"/>
                <w:sz w:val="20"/>
                <w:szCs w:val="20"/>
              </w:rPr>
            </w:pPr>
          </w:p>
        </w:tc>
        <w:tc>
          <w:tcPr>
            <w:tcW w:w="470" w:type="pct"/>
            <w:vAlign w:val="center"/>
          </w:tcPr>
          <w:p w14:paraId="572963FC" w14:textId="26451682" w:rsidR="00D138E2" w:rsidRPr="00C7439E" w:rsidRDefault="00D138E2" w:rsidP="00D138E2">
            <w:pPr>
              <w:spacing w:after="0" w:line="240" w:lineRule="auto"/>
              <w:jc w:val="center"/>
              <w:rPr>
                <w:rFonts w:ascii="Times New Roman" w:hAnsi="Times New Roman" w:cs="Times New Roman"/>
                <w:sz w:val="20"/>
                <w:szCs w:val="20"/>
              </w:rPr>
            </w:pPr>
            <w:bookmarkStart w:id="3" w:name="_GoBack"/>
            <w:bookmarkEnd w:id="3"/>
          </w:p>
        </w:tc>
        <w:tc>
          <w:tcPr>
            <w:tcW w:w="180" w:type="pct"/>
            <w:vAlign w:val="center"/>
          </w:tcPr>
          <w:p w14:paraId="69ED9489" w14:textId="422F2902" w:rsidR="00D138E2" w:rsidRPr="00C7439E" w:rsidRDefault="00D138E2" w:rsidP="00D138E2">
            <w:pPr>
              <w:spacing w:after="0" w:line="240" w:lineRule="auto"/>
              <w:jc w:val="center"/>
              <w:rPr>
                <w:rFonts w:ascii="Times New Roman" w:hAnsi="Times New Roman" w:cs="Times New Roman"/>
                <w:sz w:val="20"/>
                <w:szCs w:val="20"/>
              </w:rPr>
            </w:pPr>
          </w:p>
        </w:tc>
      </w:tr>
      <w:tr w:rsidR="00D138E2" w:rsidRPr="00C7439E" w14:paraId="032ABDED" w14:textId="77777777" w:rsidTr="000A507F">
        <w:trPr>
          <w:trHeight w:val="20"/>
          <w:jc w:val="center"/>
        </w:trPr>
        <w:tc>
          <w:tcPr>
            <w:tcW w:w="99" w:type="pct"/>
            <w:vAlign w:val="center"/>
          </w:tcPr>
          <w:p w14:paraId="02805B04" w14:textId="6C461C10" w:rsidR="00D138E2" w:rsidRPr="00EF7F40" w:rsidRDefault="00D138E2" w:rsidP="00D138E2">
            <w:pPr>
              <w:spacing w:after="0" w:line="240" w:lineRule="auto"/>
              <w:jc w:val="center"/>
              <w:rPr>
                <w:rFonts w:ascii="Times New Roman" w:hAnsi="Times New Roman" w:cs="Times New Roman"/>
                <w:sz w:val="18"/>
                <w:szCs w:val="18"/>
              </w:rPr>
            </w:pPr>
            <w:r w:rsidRPr="00EF7F40">
              <w:rPr>
                <w:rFonts w:ascii="Times New Roman" w:hAnsi="Times New Roman" w:cs="Times New Roman"/>
                <w:sz w:val="18"/>
                <w:szCs w:val="18"/>
              </w:rPr>
              <w:t>2</w:t>
            </w:r>
          </w:p>
        </w:tc>
        <w:tc>
          <w:tcPr>
            <w:tcW w:w="285" w:type="pct"/>
            <w:vAlign w:val="center"/>
          </w:tcPr>
          <w:p w14:paraId="113049CD" w14:textId="58AF7025" w:rsidR="00D138E2" w:rsidRPr="00EF7F40" w:rsidRDefault="00D138E2" w:rsidP="00D138E2">
            <w:pPr>
              <w:spacing w:after="0" w:line="240" w:lineRule="auto"/>
              <w:jc w:val="center"/>
              <w:rPr>
                <w:rFonts w:ascii="Times New Roman" w:hAnsi="Times New Roman" w:cs="Times New Roman"/>
                <w:color w:val="000000"/>
                <w:sz w:val="18"/>
                <w:szCs w:val="18"/>
              </w:rPr>
            </w:pPr>
            <w:r w:rsidRPr="00EF7F40">
              <w:rPr>
                <w:rFonts w:ascii="Times New Roman" w:hAnsi="Times New Roman" w:cs="Times New Roman"/>
                <w:color w:val="000000"/>
                <w:sz w:val="18"/>
                <w:szCs w:val="18"/>
              </w:rPr>
              <w:t>J01XA01</w:t>
            </w:r>
          </w:p>
        </w:tc>
        <w:tc>
          <w:tcPr>
            <w:tcW w:w="772" w:type="pct"/>
            <w:vAlign w:val="center"/>
          </w:tcPr>
          <w:p w14:paraId="048BEA70" w14:textId="5D6E2FA7" w:rsidR="00D138E2" w:rsidRPr="00EF7F40" w:rsidRDefault="00D138E2" w:rsidP="00D138E2">
            <w:pPr>
              <w:spacing w:after="0" w:line="240" w:lineRule="auto"/>
              <w:ind w:left="57" w:right="57"/>
              <w:jc w:val="both"/>
              <w:rPr>
                <w:rFonts w:ascii="Times New Roman" w:hAnsi="Times New Roman" w:cs="Times New Roman"/>
                <w:color w:val="000000"/>
                <w:sz w:val="18"/>
                <w:szCs w:val="18"/>
              </w:rPr>
            </w:pPr>
            <w:proofErr w:type="spellStart"/>
            <w:r w:rsidRPr="00EF7F40">
              <w:rPr>
                <w:rFonts w:ascii="Times New Roman" w:hAnsi="Times New Roman" w:cs="Times New Roman"/>
                <w:color w:val="000000"/>
                <w:sz w:val="18"/>
                <w:szCs w:val="18"/>
              </w:rPr>
              <w:t>Ванкоміцин</w:t>
            </w:r>
            <w:proofErr w:type="spellEnd"/>
            <w:r w:rsidRPr="00EF7F40">
              <w:rPr>
                <w:rFonts w:ascii="Times New Roman" w:hAnsi="Times New Roman" w:cs="Times New Roman"/>
                <w:color w:val="000000"/>
                <w:sz w:val="18"/>
                <w:szCs w:val="18"/>
              </w:rPr>
              <w:t xml:space="preserve"> ліофілізат для розчину для </w:t>
            </w:r>
            <w:proofErr w:type="spellStart"/>
            <w:r w:rsidRPr="00EF7F40">
              <w:rPr>
                <w:rFonts w:ascii="Times New Roman" w:hAnsi="Times New Roman" w:cs="Times New Roman"/>
                <w:color w:val="000000"/>
                <w:sz w:val="18"/>
                <w:szCs w:val="18"/>
              </w:rPr>
              <w:t>інфузій</w:t>
            </w:r>
            <w:proofErr w:type="spellEnd"/>
            <w:r w:rsidRPr="00EF7F40">
              <w:rPr>
                <w:rFonts w:ascii="Times New Roman" w:hAnsi="Times New Roman" w:cs="Times New Roman"/>
                <w:color w:val="000000"/>
                <w:sz w:val="18"/>
                <w:szCs w:val="18"/>
              </w:rPr>
              <w:t xml:space="preserve"> 1000 мг у флаконі (</w:t>
            </w:r>
            <w:proofErr w:type="spellStart"/>
            <w:r w:rsidRPr="00EF7F40">
              <w:rPr>
                <w:rFonts w:ascii="Times New Roman" w:hAnsi="Times New Roman" w:cs="Times New Roman"/>
                <w:color w:val="000000"/>
                <w:sz w:val="18"/>
                <w:szCs w:val="18"/>
              </w:rPr>
              <w:t>Vancomycin</w:t>
            </w:r>
            <w:proofErr w:type="spellEnd"/>
            <w:r w:rsidRPr="00EF7F40">
              <w:rPr>
                <w:rFonts w:ascii="Times New Roman" w:hAnsi="Times New Roman" w:cs="Times New Roman"/>
                <w:color w:val="000000"/>
                <w:sz w:val="18"/>
                <w:szCs w:val="18"/>
              </w:rPr>
              <w:t xml:space="preserve"> - код 33651100-9 за ДК 021:2015 - Протибактеріальні засоби для системного застосування)</w:t>
            </w:r>
          </w:p>
        </w:tc>
        <w:tc>
          <w:tcPr>
            <w:tcW w:w="470" w:type="pct"/>
            <w:vAlign w:val="center"/>
          </w:tcPr>
          <w:p w14:paraId="06AD6E35" w14:textId="77777777" w:rsidR="00D138E2" w:rsidRPr="00C7439E" w:rsidRDefault="00D138E2" w:rsidP="00D138E2">
            <w:pPr>
              <w:spacing w:after="0" w:line="240" w:lineRule="auto"/>
              <w:ind w:left="57" w:right="57"/>
              <w:jc w:val="both"/>
              <w:rPr>
                <w:rFonts w:ascii="Times New Roman" w:hAnsi="Times New Roman" w:cs="Times New Roman"/>
                <w:color w:val="000000"/>
                <w:sz w:val="20"/>
                <w:szCs w:val="20"/>
              </w:rPr>
            </w:pPr>
          </w:p>
        </w:tc>
        <w:tc>
          <w:tcPr>
            <w:tcW w:w="422" w:type="pct"/>
            <w:vAlign w:val="center"/>
          </w:tcPr>
          <w:p w14:paraId="46699E7A" w14:textId="77777777" w:rsidR="00D138E2" w:rsidRPr="00C7439E" w:rsidRDefault="00D138E2" w:rsidP="00D138E2">
            <w:pPr>
              <w:spacing w:after="0" w:line="240" w:lineRule="auto"/>
              <w:jc w:val="center"/>
              <w:rPr>
                <w:rFonts w:ascii="Times New Roman" w:hAnsi="Times New Roman" w:cs="Times New Roman"/>
                <w:sz w:val="20"/>
                <w:szCs w:val="20"/>
              </w:rPr>
            </w:pPr>
          </w:p>
        </w:tc>
        <w:tc>
          <w:tcPr>
            <w:tcW w:w="328" w:type="pct"/>
            <w:vAlign w:val="center"/>
          </w:tcPr>
          <w:p w14:paraId="5CF18323" w14:textId="64731C4D" w:rsidR="00D138E2" w:rsidRPr="00C7439E" w:rsidRDefault="00D138E2" w:rsidP="00D138E2">
            <w:pPr>
              <w:spacing w:after="0" w:line="240" w:lineRule="auto"/>
              <w:jc w:val="center"/>
              <w:rPr>
                <w:rFonts w:ascii="Times New Roman" w:hAnsi="Times New Roman" w:cs="Times New Roman"/>
                <w:color w:val="000000"/>
              </w:rPr>
            </w:pPr>
            <w:proofErr w:type="spellStart"/>
            <w:r>
              <w:rPr>
                <w:color w:val="000000"/>
              </w:rPr>
              <w:t>Фл</w:t>
            </w:r>
            <w:proofErr w:type="spellEnd"/>
            <w:r>
              <w:rPr>
                <w:color w:val="000000"/>
              </w:rPr>
              <w:t>/</w:t>
            </w:r>
            <w:proofErr w:type="spellStart"/>
            <w:r>
              <w:rPr>
                <w:color w:val="000000"/>
              </w:rPr>
              <w:t>шт</w:t>
            </w:r>
            <w:proofErr w:type="spellEnd"/>
          </w:p>
        </w:tc>
        <w:tc>
          <w:tcPr>
            <w:tcW w:w="385" w:type="pct"/>
            <w:vAlign w:val="center"/>
          </w:tcPr>
          <w:p w14:paraId="3840C73B" w14:textId="02803FBF" w:rsidR="00D138E2" w:rsidRPr="00C7439E" w:rsidRDefault="00D138E2" w:rsidP="00D138E2">
            <w:pPr>
              <w:spacing w:after="0" w:line="240" w:lineRule="auto"/>
              <w:jc w:val="center"/>
              <w:rPr>
                <w:rFonts w:ascii="Times New Roman" w:hAnsi="Times New Roman" w:cs="Times New Roman"/>
                <w:color w:val="000000"/>
              </w:rPr>
            </w:pPr>
            <w:r>
              <w:rPr>
                <w:color w:val="000000"/>
              </w:rPr>
              <w:t>3800</w:t>
            </w:r>
          </w:p>
        </w:tc>
        <w:tc>
          <w:tcPr>
            <w:tcW w:w="376" w:type="pct"/>
            <w:vAlign w:val="center"/>
          </w:tcPr>
          <w:p w14:paraId="28280365" w14:textId="77777777" w:rsidR="00D138E2" w:rsidRPr="00C7439E" w:rsidRDefault="00D138E2" w:rsidP="00D138E2">
            <w:pPr>
              <w:spacing w:after="0" w:line="240" w:lineRule="auto"/>
              <w:jc w:val="center"/>
              <w:rPr>
                <w:rFonts w:ascii="Times New Roman" w:hAnsi="Times New Roman" w:cs="Times New Roman"/>
                <w:sz w:val="20"/>
                <w:szCs w:val="20"/>
              </w:rPr>
            </w:pPr>
          </w:p>
        </w:tc>
        <w:tc>
          <w:tcPr>
            <w:tcW w:w="645" w:type="pct"/>
            <w:vAlign w:val="center"/>
          </w:tcPr>
          <w:p w14:paraId="2216EED1" w14:textId="77777777" w:rsidR="00D138E2" w:rsidRPr="00C7439E" w:rsidRDefault="00D138E2" w:rsidP="00D138E2">
            <w:pPr>
              <w:spacing w:after="0" w:line="240" w:lineRule="auto"/>
              <w:jc w:val="center"/>
              <w:rPr>
                <w:rFonts w:ascii="Times New Roman" w:hAnsi="Times New Roman" w:cs="Times New Roman"/>
                <w:sz w:val="20"/>
                <w:szCs w:val="20"/>
              </w:rPr>
            </w:pPr>
          </w:p>
        </w:tc>
        <w:tc>
          <w:tcPr>
            <w:tcW w:w="568" w:type="pct"/>
            <w:vAlign w:val="center"/>
          </w:tcPr>
          <w:p w14:paraId="64D49972" w14:textId="77777777" w:rsidR="00D138E2" w:rsidRPr="00C7439E" w:rsidRDefault="00D138E2" w:rsidP="00D138E2">
            <w:pPr>
              <w:spacing w:after="0" w:line="240" w:lineRule="auto"/>
              <w:jc w:val="center"/>
              <w:rPr>
                <w:rFonts w:ascii="Times New Roman" w:hAnsi="Times New Roman" w:cs="Times New Roman"/>
                <w:sz w:val="20"/>
                <w:szCs w:val="20"/>
              </w:rPr>
            </w:pPr>
          </w:p>
        </w:tc>
        <w:tc>
          <w:tcPr>
            <w:tcW w:w="470" w:type="pct"/>
            <w:vAlign w:val="center"/>
          </w:tcPr>
          <w:p w14:paraId="4B0F9C3B" w14:textId="77777777" w:rsidR="00D138E2" w:rsidRPr="00C7439E" w:rsidRDefault="00D138E2" w:rsidP="00D138E2">
            <w:pPr>
              <w:spacing w:after="0" w:line="240" w:lineRule="auto"/>
              <w:jc w:val="center"/>
              <w:rPr>
                <w:rFonts w:ascii="Times New Roman" w:hAnsi="Times New Roman" w:cs="Times New Roman"/>
                <w:sz w:val="20"/>
                <w:szCs w:val="20"/>
              </w:rPr>
            </w:pPr>
          </w:p>
        </w:tc>
        <w:tc>
          <w:tcPr>
            <w:tcW w:w="180" w:type="pct"/>
            <w:vAlign w:val="center"/>
          </w:tcPr>
          <w:p w14:paraId="30E959E7" w14:textId="77777777" w:rsidR="00D138E2" w:rsidRPr="00C7439E" w:rsidRDefault="00D138E2" w:rsidP="00D138E2">
            <w:pPr>
              <w:spacing w:after="0" w:line="240" w:lineRule="auto"/>
              <w:jc w:val="center"/>
              <w:rPr>
                <w:rFonts w:ascii="Times New Roman" w:hAnsi="Times New Roman" w:cs="Times New Roman"/>
                <w:sz w:val="20"/>
                <w:szCs w:val="20"/>
              </w:rPr>
            </w:pPr>
          </w:p>
        </w:tc>
      </w:tr>
      <w:tr w:rsidR="00D03AC9" w:rsidRPr="00C7439E" w14:paraId="451FF743" w14:textId="77777777" w:rsidTr="000A507F">
        <w:trPr>
          <w:trHeight w:val="20"/>
          <w:jc w:val="center"/>
        </w:trPr>
        <w:tc>
          <w:tcPr>
            <w:tcW w:w="4820" w:type="pct"/>
            <w:gridSpan w:val="11"/>
          </w:tcPr>
          <w:p w14:paraId="6954F962" w14:textId="10DAF2DA" w:rsidR="00D03AC9" w:rsidRPr="00C7439E" w:rsidRDefault="00D03AC9" w:rsidP="00F91E0E">
            <w:pPr>
              <w:spacing w:after="0" w:line="240" w:lineRule="auto"/>
              <w:jc w:val="right"/>
              <w:rPr>
                <w:rFonts w:ascii="Times New Roman" w:hAnsi="Times New Roman" w:cs="Times New Roman"/>
                <w:b/>
                <w:sz w:val="20"/>
                <w:szCs w:val="20"/>
              </w:rPr>
            </w:pPr>
            <w:r w:rsidRPr="00C7439E">
              <w:rPr>
                <w:rFonts w:ascii="Times New Roman" w:hAnsi="Times New Roman" w:cs="Times New Roman"/>
                <w:b/>
                <w:sz w:val="20"/>
                <w:szCs w:val="20"/>
              </w:rPr>
              <w:t>Всього на загальну суму без ПДВ:</w:t>
            </w:r>
          </w:p>
        </w:tc>
        <w:tc>
          <w:tcPr>
            <w:tcW w:w="180" w:type="pct"/>
            <w:vAlign w:val="center"/>
          </w:tcPr>
          <w:p w14:paraId="7BF019F0" w14:textId="437D3877" w:rsidR="00D03AC9" w:rsidRPr="00C7439E" w:rsidRDefault="00D03AC9" w:rsidP="00F91E0E">
            <w:pPr>
              <w:spacing w:after="0" w:line="240" w:lineRule="auto"/>
              <w:jc w:val="center"/>
              <w:rPr>
                <w:rFonts w:ascii="Times New Roman" w:hAnsi="Times New Roman" w:cs="Times New Roman"/>
                <w:b/>
                <w:sz w:val="20"/>
                <w:szCs w:val="20"/>
              </w:rPr>
            </w:pPr>
          </w:p>
        </w:tc>
      </w:tr>
      <w:tr w:rsidR="00D03AC9" w:rsidRPr="00C7439E" w14:paraId="6C1DAA43" w14:textId="77777777" w:rsidTr="000A507F">
        <w:trPr>
          <w:trHeight w:val="20"/>
          <w:jc w:val="center"/>
        </w:trPr>
        <w:tc>
          <w:tcPr>
            <w:tcW w:w="4820" w:type="pct"/>
            <w:gridSpan w:val="11"/>
          </w:tcPr>
          <w:p w14:paraId="765D8E8B" w14:textId="266C918B" w:rsidR="00D03AC9" w:rsidRPr="00C7439E" w:rsidRDefault="00D03AC9" w:rsidP="00F91E0E">
            <w:pPr>
              <w:spacing w:after="0" w:line="240" w:lineRule="auto"/>
              <w:jc w:val="right"/>
              <w:rPr>
                <w:rFonts w:ascii="Times New Roman" w:hAnsi="Times New Roman" w:cs="Times New Roman"/>
                <w:b/>
                <w:sz w:val="20"/>
                <w:szCs w:val="20"/>
              </w:rPr>
            </w:pPr>
            <w:r w:rsidRPr="00C7439E">
              <w:rPr>
                <w:rFonts w:ascii="Times New Roman" w:hAnsi="Times New Roman" w:cs="Times New Roman"/>
                <w:b/>
                <w:sz w:val="20"/>
                <w:szCs w:val="20"/>
              </w:rPr>
              <w:t>ПДВ 7%:</w:t>
            </w:r>
          </w:p>
        </w:tc>
        <w:tc>
          <w:tcPr>
            <w:tcW w:w="180" w:type="pct"/>
            <w:vAlign w:val="center"/>
          </w:tcPr>
          <w:p w14:paraId="7E325617" w14:textId="35EC12C2" w:rsidR="00D03AC9" w:rsidRPr="00C7439E" w:rsidRDefault="00D03AC9" w:rsidP="00F91E0E">
            <w:pPr>
              <w:spacing w:after="0" w:line="240" w:lineRule="auto"/>
              <w:jc w:val="center"/>
              <w:rPr>
                <w:rFonts w:ascii="Times New Roman" w:hAnsi="Times New Roman" w:cs="Times New Roman"/>
                <w:b/>
                <w:sz w:val="20"/>
                <w:szCs w:val="20"/>
              </w:rPr>
            </w:pPr>
          </w:p>
        </w:tc>
      </w:tr>
      <w:tr w:rsidR="00D03AC9" w:rsidRPr="00C7439E" w14:paraId="37CD5F1F" w14:textId="77777777" w:rsidTr="000A507F">
        <w:trPr>
          <w:trHeight w:val="20"/>
          <w:jc w:val="center"/>
        </w:trPr>
        <w:tc>
          <w:tcPr>
            <w:tcW w:w="4820" w:type="pct"/>
            <w:gridSpan w:val="11"/>
          </w:tcPr>
          <w:p w14:paraId="4919BA8F" w14:textId="76976DDE" w:rsidR="00D03AC9" w:rsidRPr="00C7439E" w:rsidRDefault="00D03AC9" w:rsidP="00F91E0E">
            <w:pPr>
              <w:spacing w:after="0" w:line="240" w:lineRule="auto"/>
              <w:jc w:val="right"/>
              <w:rPr>
                <w:rFonts w:ascii="Times New Roman" w:hAnsi="Times New Roman" w:cs="Times New Roman"/>
                <w:b/>
                <w:sz w:val="20"/>
                <w:szCs w:val="20"/>
              </w:rPr>
            </w:pPr>
            <w:r w:rsidRPr="00C7439E">
              <w:rPr>
                <w:rFonts w:ascii="Times New Roman" w:hAnsi="Times New Roman" w:cs="Times New Roman"/>
                <w:b/>
                <w:sz w:val="20"/>
                <w:szCs w:val="20"/>
              </w:rPr>
              <w:t>Всього на загальну суму з ПДВ:</w:t>
            </w:r>
          </w:p>
        </w:tc>
        <w:tc>
          <w:tcPr>
            <w:tcW w:w="180" w:type="pct"/>
            <w:vAlign w:val="center"/>
          </w:tcPr>
          <w:p w14:paraId="7B16E147" w14:textId="3C987B09" w:rsidR="00D03AC9" w:rsidRPr="00C7439E" w:rsidRDefault="00D03AC9" w:rsidP="00F91E0E">
            <w:pPr>
              <w:spacing w:after="0" w:line="240" w:lineRule="auto"/>
              <w:jc w:val="center"/>
              <w:rPr>
                <w:rFonts w:ascii="Times New Roman" w:hAnsi="Times New Roman" w:cs="Times New Roman"/>
                <w:b/>
                <w:sz w:val="20"/>
                <w:szCs w:val="20"/>
              </w:rPr>
            </w:pPr>
          </w:p>
        </w:tc>
      </w:tr>
    </w:tbl>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1E87" w14:textId="77777777" w:rsidR="00022EC0" w:rsidRDefault="00022EC0" w:rsidP="00503DD1">
      <w:pPr>
        <w:spacing w:after="0" w:line="240" w:lineRule="auto"/>
      </w:pPr>
      <w:r>
        <w:separator/>
      </w:r>
    </w:p>
  </w:endnote>
  <w:endnote w:type="continuationSeparator" w:id="0">
    <w:p w14:paraId="2B79D9D4" w14:textId="77777777" w:rsidR="00022EC0" w:rsidRDefault="00022EC0"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59EC" w14:textId="77777777" w:rsidR="00022EC0" w:rsidRDefault="00022EC0" w:rsidP="00503DD1">
      <w:pPr>
        <w:spacing w:after="0" w:line="240" w:lineRule="auto"/>
      </w:pPr>
      <w:r>
        <w:separator/>
      </w:r>
    </w:p>
  </w:footnote>
  <w:footnote w:type="continuationSeparator" w:id="0">
    <w:p w14:paraId="666DAA9D" w14:textId="77777777" w:rsidR="00022EC0" w:rsidRDefault="00022EC0"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22EC0"/>
    <w:rsid w:val="00061999"/>
    <w:rsid w:val="000942CF"/>
    <w:rsid w:val="000A507F"/>
    <w:rsid w:val="000B71F8"/>
    <w:rsid w:val="000C1805"/>
    <w:rsid w:val="000C1BA1"/>
    <w:rsid w:val="000D4689"/>
    <w:rsid w:val="000E695F"/>
    <w:rsid w:val="000F5F2B"/>
    <w:rsid w:val="00100AC3"/>
    <w:rsid w:val="00100C46"/>
    <w:rsid w:val="001021D7"/>
    <w:rsid w:val="00111990"/>
    <w:rsid w:val="00117F59"/>
    <w:rsid w:val="00122F1E"/>
    <w:rsid w:val="001744E7"/>
    <w:rsid w:val="001B6F0C"/>
    <w:rsid w:val="001F30F1"/>
    <w:rsid w:val="00202BEF"/>
    <w:rsid w:val="0025538A"/>
    <w:rsid w:val="002A5E12"/>
    <w:rsid w:val="002B725F"/>
    <w:rsid w:val="002C2E52"/>
    <w:rsid w:val="002D6019"/>
    <w:rsid w:val="002E2A99"/>
    <w:rsid w:val="002E3CD6"/>
    <w:rsid w:val="00340933"/>
    <w:rsid w:val="00394C5D"/>
    <w:rsid w:val="00422FD7"/>
    <w:rsid w:val="00446509"/>
    <w:rsid w:val="004A2DCE"/>
    <w:rsid w:val="004D14F0"/>
    <w:rsid w:val="004D5015"/>
    <w:rsid w:val="004D57B0"/>
    <w:rsid w:val="00503DD1"/>
    <w:rsid w:val="005537B0"/>
    <w:rsid w:val="0058192F"/>
    <w:rsid w:val="005B2FE7"/>
    <w:rsid w:val="005B4DB7"/>
    <w:rsid w:val="005C1A0C"/>
    <w:rsid w:val="005C3C35"/>
    <w:rsid w:val="005E25D6"/>
    <w:rsid w:val="006B07DA"/>
    <w:rsid w:val="006C50BA"/>
    <w:rsid w:val="006C70D7"/>
    <w:rsid w:val="006D2C64"/>
    <w:rsid w:val="006F1C34"/>
    <w:rsid w:val="00797181"/>
    <w:rsid w:val="007A5A6E"/>
    <w:rsid w:val="00834EDC"/>
    <w:rsid w:val="008A6C66"/>
    <w:rsid w:val="008B39EB"/>
    <w:rsid w:val="008E19E9"/>
    <w:rsid w:val="008F117A"/>
    <w:rsid w:val="008F69A4"/>
    <w:rsid w:val="009026A4"/>
    <w:rsid w:val="00934098"/>
    <w:rsid w:val="00956B01"/>
    <w:rsid w:val="009815D4"/>
    <w:rsid w:val="00995B03"/>
    <w:rsid w:val="009A3FBA"/>
    <w:rsid w:val="009A6F23"/>
    <w:rsid w:val="00A265A3"/>
    <w:rsid w:val="00A27DBD"/>
    <w:rsid w:val="00A35A3D"/>
    <w:rsid w:val="00A630CC"/>
    <w:rsid w:val="00AB7965"/>
    <w:rsid w:val="00AE4EC2"/>
    <w:rsid w:val="00B10CF9"/>
    <w:rsid w:val="00B207A6"/>
    <w:rsid w:val="00B26594"/>
    <w:rsid w:val="00B538CC"/>
    <w:rsid w:val="00BF1E22"/>
    <w:rsid w:val="00BF5097"/>
    <w:rsid w:val="00C7439E"/>
    <w:rsid w:val="00C77339"/>
    <w:rsid w:val="00C865BE"/>
    <w:rsid w:val="00CA3EB5"/>
    <w:rsid w:val="00CC3953"/>
    <w:rsid w:val="00CC409E"/>
    <w:rsid w:val="00CC58B7"/>
    <w:rsid w:val="00CF0B8A"/>
    <w:rsid w:val="00D0318C"/>
    <w:rsid w:val="00D03AC9"/>
    <w:rsid w:val="00D138E2"/>
    <w:rsid w:val="00D13C77"/>
    <w:rsid w:val="00D307AD"/>
    <w:rsid w:val="00D35CC8"/>
    <w:rsid w:val="00D406F7"/>
    <w:rsid w:val="00D47EF2"/>
    <w:rsid w:val="00DC1F97"/>
    <w:rsid w:val="00DD7FDD"/>
    <w:rsid w:val="00DE6824"/>
    <w:rsid w:val="00E05D0B"/>
    <w:rsid w:val="00E24E9C"/>
    <w:rsid w:val="00E955A7"/>
    <w:rsid w:val="00EB279E"/>
    <w:rsid w:val="00EB4E20"/>
    <w:rsid w:val="00EF7F40"/>
    <w:rsid w:val="00F00C1E"/>
    <w:rsid w:val="00F0618E"/>
    <w:rsid w:val="00F0746C"/>
    <w:rsid w:val="00F272D6"/>
    <w:rsid w:val="00F52DDA"/>
    <w:rsid w:val="00F84BE1"/>
    <w:rsid w:val="00FA2910"/>
    <w:rsid w:val="00FA368F"/>
    <w:rsid w:val="00FB3A01"/>
    <w:rsid w:val="00FD4282"/>
    <w:rsid w:val="00FF5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813">
      <w:bodyDiv w:val="1"/>
      <w:marLeft w:val="0"/>
      <w:marRight w:val="0"/>
      <w:marTop w:val="0"/>
      <w:marBottom w:val="0"/>
      <w:divBdr>
        <w:top w:val="none" w:sz="0" w:space="0" w:color="auto"/>
        <w:left w:val="none" w:sz="0" w:space="0" w:color="auto"/>
        <w:bottom w:val="none" w:sz="0" w:space="0" w:color="auto"/>
        <w:right w:val="none" w:sz="0" w:space="0" w:color="auto"/>
      </w:divBdr>
    </w:div>
    <w:div w:id="1801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9C2C759-FE03-4C69-BB62-B683162D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17580</Words>
  <Characters>10021</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67</cp:revision>
  <dcterms:created xsi:type="dcterms:W3CDTF">2023-07-24T16:50:00Z</dcterms:created>
  <dcterms:modified xsi:type="dcterms:W3CDTF">2024-04-23T17:19:00Z</dcterms:modified>
</cp:coreProperties>
</file>